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1 – CORES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2 – TIPOGRAFIA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3 – SELETORES PERSONALIZADOS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4 – O MODELO DE CAIXAS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5 – MINIPROJETO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1 – CORES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120130" cy="4794250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Azul → Cor com maior taxa de aprovação e menor taxa de rejeição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Fundo preto +  fonte branca → cansaço visual rápido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Representar cores: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Nome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Código hexadecimal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RGB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HSL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Visual Studio Code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Circulo Cromático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808355</wp:posOffset>
            </wp:positionH>
            <wp:positionV relativeFrom="paragraph">
              <wp:posOffset>182880</wp:posOffset>
            </wp:positionV>
            <wp:extent cx="4417695" cy="3350260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HARMONIA DE CORES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Cores primárias → Amarelo, Vermelho, Azul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Cores secundárias → Laranja, Violeta, Verde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Cores terciárias → Amarelo-esverdeado, Amarelo-alaranjado, Vermelho-alaranjado, Vermelho-arroxeado, Azul-arroxeado, Azul-esverdeado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Temperatura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760" cy="204787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Paleta de cores → geralmente, 3 até 5 cores (desconsiderando, preto e branco)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Cores complementares → apresentam maior contraste entre si. Lado oposto do círculo cromático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43180</wp:posOffset>
            </wp:positionH>
            <wp:positionV relativeFrom="paragraph">
              <wp:posOffset>90805</wp:posOffset>
            </wp:positionV>
            <wp:extent cx="1704975" cy="1752600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Cores análogas → cores vizinhas uma da outra e possuem menor contraste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91440</wp:posOffset>
            </wp:positionH>
            <wp:positionV relativeFrom="paragraph">
              <wp:posOffset>43815</wp:posOffset>
            </wp:positionV>
            <wp:extent cx="1781175" cy="1714500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Cores análogas mais uma complementar → soma dos 2 anteriores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109855</wp:posOffset>
            </wp:positionH>
            <wp:positionV relativeFrom="paragraph">
              <wp:posOffset>114300</wp:posOffset>
            </wp:positionV>
            <wp:extent cx="1657350" cy="1619250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Cores análogas relacionadas → Duas cores análogas + pula uma cor. Trás um pouco de contraste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-283845</wp:posOffset>
            </wp:positionH>
            <wp:positionV relativeFrom="paragraph">
              <wp:posOffset>144780</wp:posOffset>
            </wp:positionV>
            <wp:extent cx="1838325" cy="1733550"/>
            <wp:effectExtent l="0" t="0" r="0" b="0"/>
            <wp:wrapSquare wrapText="largest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Cores intercaladas → tipo menos usado. Intervalo de 2 em 2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1905</wp:posOffset>
            </wp:positionH>
            <wp:positionV relativeFrom="paragraph">
              <wp:posOffset>109855</wp:posOffset>
            </wp:positionV>
            <wp:extent cx="1647825" cy="1628775"/>
            <wp:effectExtent l="0" t="0" r="0" b="0"/>
            <wp:wrapSquare wrapText="largest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Tipos de intercaladas → triádica, em quadrado, tetrádicas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41910</wp:posOffset>
            </wp:positionH>
            <wp:positionV relativeFrom="paragraph">
              <wp:posOffset>27940</wp:posOffset>
            </wp:positionV>
            <wp:extent cx="1724025" cy="1666875"/>
            <wp:effectExtent l="0" t="0" r="0" b="0"/>
            <wp:wrapSquare wrapText="largest"/>
            <wp:docPr id="9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1946910</wp:posOffset>
            </wp:positionH>
            <wp:positionV relativeFrom="paragraph">
              <wp:posOffset>86995</wp:posOffset>
            </wp:positionV>
            <wp:extent cx="1743075" cy="1609725"/>
            <wp:effectExtent l="0" t="0" r="0" b="0"/>
            <wp:wrapSquare wrapText="largest"/>
            <wp:docPr id="10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3815715</wp:posOffset>
            </wp:positionH>
            <wp:positionV relativeFrom="paragraph">
              <wp:posOffset>52705</wp:posOffset>
            </wp:positionV>
            <wp:extent cx="1762125" cy="1666875"/>
            <wp:effectExtent l="0" t="0" r="0" b="0"/>
            <wp:wrapSquare wrapText="largest"/>
            <wp:docPr id="11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Monocromia → uma cor com variação de brilho e saturação (degradê)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-13970</wp:posOffset>
            </wp:positionH>
            <wp:positionV relativeFrom="paragraph">
              <wp:posOffset>635</wp:posOffset>
            </wp:positionV>
            <wp:extent cx="1695450" cy="1600200"/>
            <wp:effectExtent l="0" t="0" r="0" b="0"/>
            <wp:wrapSquare wrapText="largest"/>
            <wp:docPr id="12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Degradê → background-image: linear-gradient(to direção, cor1, cor2)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to left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to right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to top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to bottom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* {} → configuração global de CSS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&lt;main&gt;&lt;/main&gt; → indica o conteúdo principal do html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border-radius: (xp) → cria bordas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box-shadow: (x)px (x)px (x)px color → coloca sombra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width: (x)px → cria um bloco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padding: (x)px→ dar uma folga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margin: auto; → centraliza automaticamente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2 – TIPOGRAFIA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Século XV com os Monges Copistas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Johannes Gutenberg (na verdade chineses) → Prensa Mecânica de Tipos Móveis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Revolução da Imprensa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Necessidade de letras mais fáceis de ler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Tipografia → estudos dos tipos de escrita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Anatomia do tipo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x → ponto de partida para construir todas as fontes (altura-x)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 xml:space="preserve">Altura – x 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Altura das maiúsculas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Ascendente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Descendente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Corpo → soma de todas as alturas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98980"/>
            <wp:effectExtent l="0" t="0" r="0" b="0"/>
            <wp:wrapSquare wrapText="largest"/>
            <wp:docPr id="13" name="Figura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ANATÔMICOS GEOMÉTRICOS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Serifa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88085"/>
            <wp:effectExtent l="0" t="0" r="0" b="0"/>
            <wp:wrapSquare wrapText="largest"/>
            <wp:docPr id="14" name="Figura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Haste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Filete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Arco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Esporão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Vértice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Terminal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9900"/>
            <wp:effectExtent l="0" t="0" r="0" b="0"/>
            <wp:wrapSquare wrapText="largest"/>
            <wp:docPr id="15" name="Figura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ANATÔMICOS CORPORAIS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Braço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Perna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Pé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Espinha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Barriga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Olho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Orelha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Cauda</w:t>
        <w:tab/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120130" cy="1831340"/>
            <wp:effectExtent l="0" t="0" r="0" b="0"/>
            <wp:wrapSquare wrapText="largest"/>
            <wp:docPr id="16" name="Figura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Glifo → Cada letra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Fonte → Conjunto de glifos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Família tipográfica → várias formas de representar um glifo em uma família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CATEGORIAS DE FONTE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Dica: textos longos → fontes não serifadas para texto em tela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numPr>
          <w:ilvl w:val="0"/>
          <w:numId w:val="8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Serifada → fontes que possui serifas</w:t>
      </w:r>
    </w:p>
    <w:p>
      <w:pPr>
        <w:pStyle w:val="Normal"/>
        <w:numPr>
          <w:ilvl w:val="0"/>
          <w:numId w:val="8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Sans-serif → fontes não serifadas</w:t>
      </w:r>
    </w:p>
    <w:p>
      <w:pPr>
        <w:pStyle w:val="Normal"/>
        <w:numPr>
          <w:ilvl w:val="0"/>
          <w:numId w:val="8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Monoespaçadas → fontes com a mesma largura</w:t>
      </w:r>
    </w:p>
    <w:p>
      <w:pPr>
        <w:pStyle w:val="Normal"/>
        <w:numPr>
          <w:ilvl w:val="0"/>
          <w:numId w:val="8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Handwriting → fonte scripts, simula escrita a mão</w:t>
      </w:r>
    </w:p>
    <w:p>
      <w:pPr>
        <w:pStyle w:val="Normal"/>
        <w:numPr>
          <w:ilvl w:val="0"/>
          <w:numId w:val="8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Display → fonte comemorativa, não possui nenhuma das regras anatômicas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SAFE COMBINATIONS</w:t>
      </w:r>
    </w:p>
    <w:p>
      <w:pPr>
        <w:pStyle w:val="Normal"/>
        <w:bidi w:val="0"/>
        <w:jc w:val="start"/>
        <w:rPr/>
      </w:pPr>
      <w:r>
        <w:rPr>
          <w:rStyle w:val="LinkdaInternet"/>
          <w:rFonts w:ascii="Arial" w:hAnsi="Arial"/>
          <w:sz w:val="32"/>
          <w:szCs w:val="32"/>
        </w:rPr>
        <w:t>https://www.w3schools.com/cssref/css_websafe_fonts.asp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TAMANHO DE FONTE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Medidas Absolutas: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cm → centímetro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mm → milímetro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in → polegada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px → píxel (recomendado)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pt → ponto</w:t>
      </w:r>
    </w:p>
    <w:p>
      <w:pPr>
        <w:pStyle w:val="Normal"/>
        <w:numPr>
          <w:ilvl w:val="0"/>
          <w:numId w:val="9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pc → paica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Medidas Relativas: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em → altura-m (recomendado)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ex → altura-x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rem → altura-m do root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vw → largura da tela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vh → altura da tela</w:t>
      </w:r>
    </w:p>
    <w:p>
      <w:pPr>
        <w:pStyle w:val="Normal"/>
        <w:numPr>
          <w:ilvl w:val="0"/>
          <w:numId w:val="10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% → porcentagem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16px geralmente = 1em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font-size: → tamanho da letra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font-weight → peso da fonte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/>
      </w:pPr>
      <w:r>
        <w:rPr>
          <w:rFonts w:ascii="Arial" w:hAnsi="Arial"/>
          <w:sz w:val="32"/>
          <w:szCs w:val="32"/>
        </w:rPr>
        <w:t>lighter, normal, bold, bolder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font-style → estilo da fonte (itálico)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text-decoration → decoração da fonte (ex: underline)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Shorthand → font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style → weight → size → family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Fontes externas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@font-face{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ab/>
        <w:t>font-family: ;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ab/>
        <w:t>src: url(‘’) format(‘’)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 xml:space="preserve">} 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font-weight:</w:t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font-style: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Tipos de format</w:t>
      </w:r>
    </w:p>
    <w:p>
      <w:pPr>
        <w:pStyle w:val="Normal"/>
        <w:numPr>
          <w:ilvl w:val="0"/>
          <w:numId w:val="1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opentype (otf)</w:t>
      </w:r>
    </w:p>
    <w:p>
      <w:pPr>
        <w:pStyle w:val="Normal"/>
        <w:numPr>
          <w:ilvl w:val="0"/>
          <w:numId w:val="1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truetype (ttf)</w:t>
      </w:r>
    </w:p>
    <w:p>
      <w:pPr>
        <w:pStyle w:val="Normal"/>
        <w:numPr>
          <w:ilvl w:val="0"/>
          <w:numId w:val="1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embedded-opentype</w:t>
      </w:r>
    </w:p>
    <w:p>
      <w:pPr>
        <w:pStyle w:val="Normal"/>
        <w:numPr>
          <w:ilvl w:val="0"/>
          <w:numId w:val="1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truetype-aat (Apple Advanced Typography)</w:t>
      </w:r>
    </w:p>
    <w:p>
      <w:pPr>
        <w:pStyle w:val="Normal"/>
        <w:numPr>
          <w:ilvl w:val="0"/>
          <w:numId w:val="11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svg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rFonts w:ascii="Arial" w:hAnsi="Arial"/>
          <w:sz w:val="32"/>
          <w:szCs w:val="32"/>
        </w:rPr>
        <w:t>Alinhamento de textos</w:t>
      </w:r>
    </w:p>
    <w:p>
      <w:pPr>
        <w:pStyle w:val="Normal"/>
        <w:numPr>
          <w:ilvl w:val="0"/>
          <w:numId w:val="1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&lt;center&gt;&lt;/center&gt; → centraliza (obsoleta)</w:t>
      </w:r>
    </w:p>
    <w:p>
      <w:pPr>
        <w:pStyle w:val="Normal"/>
        <w:numPr>
          <w:ilvl w:val="0"/>
          <w:numId w:val="1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text-align: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/>
      </w:pPr>
      <w:r>
        <w:rPr>
          <w:rFonts w:ascii="Arial" w:hAnsi="Arial"/>
          <w:sz w:val="32"/>
          <w:szCs w:val="32"/>
        </w:rPr>
        <w:t>center (centro)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/>
      </w:pPr>
      <w:r>
        <w:rPr>
          <w:rFonts w:ascii="Arial" w:hAnsi="Arial"/>
          <w:sz w:val="32"/>
          <w:szCs w:val="32"/>
        </w:rPr>
        <w:t>left (esquerda)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/>
      </w:pPr>
      <w:r>
        <w:rPr>
          <w:rFonts w:ascii="Arial" w:hAnsi="Arial"/>
          <w:sz w:val="32"/>
          <w:szCs w:val="32"/>
        </w:rPr>
        <w:t>right (direita)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/>
      </w:pPr>
      <w:r>
        <w:rPr>
          <w:rFonts w:ascii="Arial" w:hAnsi="Arial"/>
          <w:sz w:val="32"/>
          <w:szCs w:val="32"/>
        </w:rPr>
        <w:t>justify (alinhamento dos 2 lados)</w:t>
      </w:r>
    </w:p>
    <w:p>
      <w:pPr>
        <w:pStyle w:val="Normal"/>
        <w:numPr>
          <w:ilvl w:val="0"/>
          <w:numId w:val="12"/>
        </w:numPr>
        <w:bidi w:val="0"/>
        <w:jc w:val="start"/>
        <w:rPr/>
      </w:pPr>
      <w:r>
        <w:rPr>
          <w:rFonts w:ascii="Arial" w:hAnsi="Arial"/>
          <w:sz w:val="32"/>
          <w:szCs w:val="32"/>
        </w:rPr>
        <w:t>text-indent: x(px)</w:t>
      </w:r>
    </w:p>
    <w:p>
      <w:pPr>
        <w:pStyle w:val="Normal"/>
        <w:bidi w:val="0"/>
        <w:jc w:val="star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3 – SELETORES PERSONALIZADOS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 xml:space="preserve">id = #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 xml:space="preserve">Regra: Usar apenas um id (#)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class = .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 xml:space="preserve">Regra: pode usar mais de um (.)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nome das classes de acordo com a função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 = pseudo classe → especifica um estado especial de um elemento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:hover → ativa quando passar o mouse em cima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:visited → quando já visitou (um link)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:active → quando clicar (no link)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:: = pseudo elemento → formata um pedaço específico do elemento referenciado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::after → depois do elemento referenciado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ab/>
        <w:t>content: → conteúdo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SELETORES PERSONALIZADOS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# = id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. = class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 = pseudo-class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:: = pseudo-element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2"/>
          <w:szCs w:val="32"/>
        </w:rPr>
        <w:t>&gt; = children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4 – O MODELO DE CAIXAS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Anatomia: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height → altura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width → largura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 → borda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padding → preenchimento (distância da borda)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margin → margem (espaço externo)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outline → contorno (entre a borda e o espaço externo)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Tipos de caixas: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box-level → se inicia em uma linha nova ocupando toda a largura da tela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inline-level → se inicia na mesma linha e ocupa o tamanho do conteúdo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box-level: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&lt;div&gt;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&lt;h1&gt;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&lt;p&gt;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&lt;main&gt;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&lt;header&gt;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&lt;nav&gt;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&lt;article&gt;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&lt;aside&gt;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&lt;footer&gt;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&lt;form&gt;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&lt;video&gt;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inline-level: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&lt;span&gt;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&lt;a&gt;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&lt;code&gt;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&lt;small&gt;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&lt;strong&gt;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&lt;em&gt;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&lt;sup&gt; - &lt;sub&gt;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&lt;label&gt;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&lt;button&gt;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&lt;input&gt;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&lt;select&gt;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display: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inline – transforma em inline-level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block → transforma em box-level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inline-block → inline com características de block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User agent → navegador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Na prática: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height: (x)px;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width: (x)px;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border-width: (x)px;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border-style: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solid → borda única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 xml:space="preserve">dashed → tracejado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 xml:space="preserve">dotted → pontilhado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double → linha dupla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groove → margem “3D”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border-color: 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padding-type : px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top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right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bottom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left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margin-type : px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top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right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bottom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left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margin-auto → centraliza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ORDEM PADDING/MARGIN → top – right – bottom – left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outline-width: (x)px;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outiline-style: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solid → borda única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 xml:space="preserve">dashed → tracejado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 xml:space="preserve">dotted → pontilhado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double → linha dupla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groove → margem “3D”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outline-color: 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SHORTHANDS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border: width style color;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outline: width style color;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padding: top right bottom left;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margin: top right bottom left;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DICA: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- se as 4 forem iguais, informa uma única vez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- quando coloca 2 valores, será o de cima e baixo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- margin → right e left podem ser auto (centralizado)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Grouping Tags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&lt;div&gt;&lt;/div&gt; → box-level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&lt;span&gt;&lt;/span&gt; → inline-level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&lt;header&gt;&lt;/header&gt; → cabeçalho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&lt;main&gt;&lt;/main&gt; → conteúdo principal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&lt;footer&gt;&lt;/footer&gt; → rodapé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&lt;nav&gt;&lt;/nav&gt; → menu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&lt;section&gt;&lt;/section&gt; → sessão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&lt;article&gt;&lt;/article&gt; → artigo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&lt;aside&gt;&lt;/aside&gt; → conteúdo periférico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Sombras → não exagerar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box-shadow: 1px 1px 1px 1px black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inset / outset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deslocamento horizontal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deslocamento vertical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blur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spread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border-radius: (x)px → arredondamento da borda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top left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top right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bottom right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ab/>
        <w:t>bottom left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DICA: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- 2 medidas = bordas de cima / bordas de baixo respectivamente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BORDAS PERSONALIZADAS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Precisa existir uma borda normal de preferência transparente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border: px solid transparent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border-image-source: url();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border-image-slice: 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border-image-repeat: repeat;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border-image: url() slice repeat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 xml:space="preserve">5 – MINIPROJETO </w:t>
      </w:r>
    </w:p>
    <w:p>
      <w:pPr>
        <w:pStyle w:val="Normal"/>
        <w:bidi w:val="0"/>
        <w:jc w:val="start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Planejamento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1 – Layout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2 – Cores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3 – Fontes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ETAPA 1 → Organizar as tags “esqueleto” do HTML:  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- código base e lang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- link:favicon e link:css → se for necessário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header → cabeçalho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h1 → título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p → subtítulo, parágrafo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nav → menu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main → conteúdo principal do site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article → artigo do site onde terão as informações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ab/>
        <w:t>aside → conteúdo extra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footer → rodapé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ETAPA 2 → Organizar o conteúdo envelopando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main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article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ab/>
        <w:t>h1 → título principal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ab/>
        <w:t>h2 → títulos secundários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ab/>
        <w:t>p → parágrafo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ab/>
        <w:t>img → imagens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strong → deixar texto forte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ETAPA 3 → Utilizar as cores e fontes através de variáveis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Arial" w:hAnsi="Arial"/>
          <w:sz w:val="28"/>
          <w:szCs w:val="28"/>
        </w:rPr>
        <w:t>Variáveis CSS: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Arial" w:hAnsi="Arial"/>
          <w:sz w:val="28"/>
          <w:szCs w:val="28"/>
        </w:rPr>
        <w:t>:root {} → área principal para declarar variáveis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Arial" w:hAnsi="Arial"/>
          <w:sz w:val="28"/>
          <w:szCs w:val="28"/>
        </w:rPr>
        <w:t>--nome_da_variavel: ; → variável em css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Arial" w:hAnsi="Arial"/>
          <w:sz w:val="28"/>
          <w:szCs w:val="28"/>
        </w:rPr>
        <w:t>var(--nome_da_variavel);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ETAPA 4 → Responsividade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1200 px de largura normalmente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Conteúdo: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margin: auto → centraliza as caixas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min-width → tamanho mínimo de largura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max-width → tamanho máximo de largura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Imagem: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img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width: 100%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}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picture{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source media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img 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}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alternativa para deixar imagens pequena sempre: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max-width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display: block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margin: auto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TRABALHAR AS MARGENS E PADDING DOS CONTEÚDOS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dica: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padding envolve diretamente o conteúdo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margin envolve diretamente a caixa (incluindo a parte com cor da box)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min-height → altura mínima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transition-duration: → quanto tempo dura pra acontecer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ETAPA 5 → Melhorar o formato do conteúdo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p{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text-indent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text-align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line-height → altura entre as linhas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ul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list-style-type → tipo de indice da lista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list-style-position → inside ou outside (dentro ou fora da caixa o indice)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columns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}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list-style-type com emojis e \00A0 (espaço) não é compatível com todos os navegadores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usar margin negativa para encaixar blocos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ETAPA 6 → Responsividade dos vídeos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Envelopa em uma div com uma class ou id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div.video{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padding-bottom: % (relativo as barras pretas laterais do video)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position relative;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}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div.video &gt; iframe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position absolute;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top: %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 xml:space="preserve">left: % 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width: %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ab/>
        <w:t>height: %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rFonts w:ascii="Arial" w:hAnsi="Arial"/>
          <w:sz w:val="32"/>
          <w:szCs w:val="32"/>
        </w:rPr>
        <w:t>}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Arial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424</TotalTime>
  <Application>LibreOffice/7.3.2.2$Windows_X86_64 LibreOffice_project/49f2b1bff42cfccbd8f788c8dc32c1c309559be0</Application>
  <AppVersion>15.0000</AppVersion>
  <Pages>29</Pages>
  <Words>1341</Words>
  <Characters>6971</Characters>
  <CharactersWithSpaces>8012</CharactersWithSpaces>
  <Paragraphs>337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2022-06-18T19:13:45Z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