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InterTight-bold.ttf" ContentType="application/x-font-ttf"/>
  <Override PartName="/word/fonts/InterTight-boldItalic.ttf" ContentType="application/x-font-ttf"/>
  <Override PartName="/word/fonts/InterTight-italic.ttf" ContentType="application/x-font-ttf"/>
  <Override PartName="/word/fonts/InterTight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60" w:lineRule="auto"/>
        <w:jc w:val="both"/>
        <w:rPr>
          <w:rFonts w:ascii="Inter Tight" w:cs="Inter Tight" w:eastAsia="Inter Tight" w:hAnsi="Inter Tight"/>
          <w:color w:val="000000"/>
        </w:rPr>
      </w:pPr>
      <w:bookmarkStart w:colFirst="0" w:colLast="0" w:name="_heading=h.t5i9zr5mp2us" w:id="0"/>
      <w:bookmarkEnd w:id="0"/>
      <w:sdt>
        <w:sdtPr>
          <w:id w:val="-734324298"/>
          <w:tag w:val="goog_rdk_0"/>
        </w:sdtPr>
        <w:sdtContent>
          <w:commentRangeStart w:id="0"/>
        </w:sdtContent>
      </w:sdt>
      <w:r w:rsidDel="00000000" w:rsidR="00000000" w:rsidRPr="00000000">
        <w:rPr>
          <w:rFonts w:ascii="Inter Tight" w:cs="Inter Tight" w:eastAsia="Inter Tight" w:hAnsi="Inter Tight"/>
          <w:color w:val="000000"/>
          <w:rtl w:val="0"/>
        </w:rPr>
        <w:t>Entrega de Atividade Semanal - A8 — Planejamento incremental, estimativas e riscos — Entrega final revisada</w:t>
      </w:r>
      <w:commentRangeEnd w:id="0"/>
      <w:r w:rsidDel="00000000" w:rsidR="00000000" w:rsidRPr="00000000"/>
      <w:r w:rsidDel="00000000" w:rsidR="00000000" w:rsidRPr="00000000">
        <w:rPr>
          <w:rFonts w:ascii="Inter Tight" w:cs="Inter Tight" w:eastAsia="Inter Tight" w:hAnsi="Inter Tight"/>
          <w:color w:val="000000"/>
          <w:rtl w:val="0"/>
        </w:rPr>
      </w:r>
    </w:p>
    <w:p w:rsidR="00000000" w:rsidDel="00000000" w:rsidP="00000000" w:rsidRDefault="00000000" w:rsidRPr="00000000" w14:paraId="00000002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Utilize este arquivo como modelo para todas as entregas das atividades semanais (A1 a A15). Preencha os campos de identificação, o conteúdo solicitado no enunciado da atividade e, quando aplicável, a declaração de uso de Inteligência Artificial.</w:t>
      </w:r>
    </w:p>
    <w:p w:rsidR="00000000" w:rsidDel="00000000" w:rsidP="00000000" w:rsidRDefault="00000000" w:rsidRPr="00000000" w14:paraId="00000003">
      <w:pPr>
        <w:pStyle w:val="Heading1"/>
        <w:spacing w:after="160" w:before="320" w:lineRule="auto"/>
        <w:jc w:val="both"/>
        <w:rPr>
          <w:rFonts w:ascii="Inter Tight" w:cs="Inter Tight" w:eastAsia="Inter Tight" w:hAnsi="Inter Tight"/>
          <w:color w:val="000000"/>
          <w:sz w:val="20"/>
          <w:szCs w:val="20"/>
        </w:rPr>
      </w:pPr>
      <w:r w:rsidDel="00000000" w:rsidR="00000000" w:rsidRPr="00000000">
        <w:rPr>
          <w:rFonts w:ascii="Inter Tight" w:cs="Inter Tight" w:eastAsia="Inter Tight" w:hAnsi="Inter Tight"/>
          <w:color w:val="000000"/>
          <w:sz w:val="20"/>
          <w:szCs w:val="20"/>
          <w:rtl w:val="0"/>
        </w:rPr>
        <w:t xml:space="preserve">1. Identificação</w:t>
      </w:r>
    </w:p>
    <w:p w:rsidR="00000000" w:rsidDel="00000000" w:rsidP="00000000" w:rsidRDefault="00000000" w:rsidRPr="00000000" w14:paraId="00000004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b w:val="1"/>
          <w:bCs w:val="1"/>
          <w:rtl w:val="0"/>
        </w:rPr>
        <w:t>Atividade (código e nome): A8 — Planejamento incremental, estimativas e riscos — Entrega final revisada</w:t>
      </w:r>
      <w:r w:rsidDel="00000000" w:rsidR="00000000" w:rsidRPr="00000000">
        <w:rPr>
          <w:rFonts w:ascii="Inter Tight" w:cs="Inter Tight" w:eastAsia="Inter Tight" w:hAnsi="Inter Tight"/>
          <w:rtl w:val="0"/>
        </w:rPr>
      </w:r>
    </w:p>
    <w:p w:rsidR="00000000" w:rsidDel="00000000" w:rsidP="00000000" w:rsidRDefault="00000000" w:rsidRPr="00000000" w14:paraId="00000005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b w:val="1"/>
          <w:bCs w:val="1"/>
          <w:rtl w:val="0"/>
        </w:rPr>
        <w:t>Etapa (AP1 / AP2 / AS): ____________________ (confirmar no AVA)</w:t>
      </w:r>
      <w:r w:rsidDel="00000000" w:rsidR="00000000" w:rsidRPr="00000000">
        <w:rPr>
          <w:rFonts w:ascii="Inter Tight" w:cs="Inter Tight" w:eastAsia="Inter Tight" w:hAnsi="Inter Tight"/>
          <w:rtl w:val="0"/>
        </w:rPr>
      </w:r>
    </w:p>
    <w:p w:rsidR="00000000" w:rsidDel="00000000" w:rsidP="00000000" w:rsidRDefault="00000000" w:rsidRPr="00000000" w14:paraId="00000006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b w:val="1"/>
          <w:bCs w:val="1"/>
          <w:rtl w:val="0"/>
        </w:rPr>
        <w:t>Equipe: TechFix</w:t>
      </w:r>
      <w:r w:rsidDel="00000000" w:rsidR="00000000" w:rsidRPr="00000000">
        <w:rPr>
          <w:rFonts w:ascii="Inter Tight" w:cs="Inter Tight" w:eastAsia="Inter Tight" w:hAnsi="Inter Tight"/>
          <w:rtl w:val="0"/>
        </w:rPr>
      </w:r>
    </w:p>
    <w:p w:rsidR="00000000" w:rsidDel="00000000" w:rsidP="00000000" w:rsidRDefault="00000000" w:rsidRPr="00000000" w14:paraId="00000007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b w:val="1"/>
          <w:bCs w:val="1"/>
          <w:rtl w:val="0"/>
        </w:rPr>
        <w:t>Integrantes: Arthur Scharfenberger e Lucas Oliveira da Silva</w:t>
      </w:r>
      <w:r w:rsidDel="00000000" w:rsidR="00000000" w:rsidRPr="00000000">
        <w:rPr>
          <w:rFonts w:ascii="Inter Tight" w:cs="Inter Tight" w:eastAsia="Inter Tight" w:hAnsi="Inter Tight"/>
          <w:rtl w:val="0"/>
        </w:rPr>
      </w:r>
    </w:p>
    <w:p w:rsidR="00000000" w:rsidDel="00000000" w:rsidP="00000000" w:rsidRDefault="00000000" w:rsidRPr="00000000" w14:paraId="00000008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b w:val="1"/>
          <w:bCs w:val="1"/>
          <w:rtl w:val="0"/>
        </w:rPr>
        <w:t>Data de entrega: ____________________ (preparação: 30/09/2026)</w:t>
      </w:r>
      <w:r w:rsidDel="00000000" w:rsidR="00000000" w:rsidRPr="00000000">
        <w:rPr>
          <w:rFonts w:ascii="Inter Tight" w:cs="Inter Tight" w:eastAsia="Inter Tight" w:hAnsi="Inter Tight"/>
          <w:rtl w:val="0"/>
        </w:rPr>
      </w:r>
    </w:p>
    <w:p w:rsidR="00000000" w:rsidDel="00000000" w:rsidP="00000000" w:rsidRDefault="00000000" w:rsidRPr="00000000" w14:paraId="00000009">
      <w:pPr>
        <w:pStyle w:val="Heading1"/>
        <w:spacing w:after="160" w:before="320" w:lineRule="auto"/>
        <w:jc w:val="both"/>
        <w:rPr>
          <w:rFonts w:ascii="Inter Tight" w:cs="Inter Tight" w:eastAsia="Inter Tight" w:hAnsi="Inter Tight"/>
          <w:color w:val="000000"/>
          <w:sz w:val="20"/>
          <w:szCs w:val="20"/>
        </w:rPr>
      </w:pPr>
      <w:r w:rsidDel="00000000" w:rsidR="00000000" w:rsidRPr="00000000">
        <w:rPr>
          <w:rFonts w:ascii="Inter Tight" w:cs="Inter Tight" w:eastAsia="Inter Tight" w:hAnsi="Inter Tight"/>
          <w:color w:val="000000"/>
          <w:sz w:val="20"/>
          <w:szCs w:val="20"/>
          <w:rtl w:val="0"/>
        </w:rPr>
        <w:t xml:space="preserve">2. Conteúdo da atividade</w:t>
      </w:r>
    </w:p>
    <w:p w:rsidR="00000000" w:rsidDel="00000000" w:rsidP="00000000" w:rsidRDefault="00000000" w:rsidRPr="00000000" w14:paraId="0000000A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Desenvolva aqui o conteúdo solicitado no enunciado da atividade correspondente (ex.: problema e stakeholders, requisitos, processo escolhido, modelagem, plano de qualidade, casos de teste etc.). Organize em subtítulos quando fizer sentido. Atribua links quando necessário.</w:t>
      </w:r>
    </w:p>
    <w:p>
      <w:pPr>
        <w:pStyle w:val="Heading2"/>
      </w:pPr>
      <w:r>
        <w:t>2.1 Base, escopo e prioridade</w:t>
      </w:r>
    </w:p>
    <w:p>
      <w:r>
        <w:t>Base: Atividade05.pdf e Atividade05.docx, especialmente critérios de aceitação e priorização final; Atividade04.md complementa as regras. Atividade_A8.pdf é a versão anterior usada para comparar as correções. Os originais foram preservados. Na A5, a tabela de versões validadas contém conteúdo de IA no lugar dos requisitos; por isso não foi usada para inventar definições ausentes.</w:t>
      </w:r>
    </w:p>
    <w:p>
      <w:r>
        <w:t>Must have: RF1, RF2, RF3, RN1, RNF2, HU1 e HU2. Should have: RNF1, obrigatório antes da implantação. A ordem abaixo respeita dependências e valor. Os IDs A8R identificam esta revisão e evitam confusão com os antigos B01–B10. HU1/HU2 são perspectivas dos mesmos requisitos, não trabalho duplicado.</w:t>
      </w:r>
    </w:p>
    <w:p>
      <w:pPr>
        <w:pStyle w:val="Heading2"/>
      </w:pPr>
      <w:r>
        <w:t>2.2 Backlog completo e estimado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6B8C4"/>
          <w:left w:val="single" w:sz="4" w:color="A6B8C4"/>
          <w:bottom w:val="single" w:sz="4" w:color="A6B8C4"/>
          <w:right w:val="single" w:sz="4" w:color="A6B8C4"/>
          <w:insideH w:val="single" w:sz="4" w:color="A6B8C4"/>
          <w:insideV w:val="single" w:sz="4" w:color="A6B8C4"/>
        </w:tblBorders>
      </w:tblPr>
      <w:tblGrid>
        <w:gridCol w:w="1805"/>
        <w:gridCol w:w="1805"/>
        <w:gridCol w:w="1805"/>
        <w:gridCol w:w="1805"/>
        <w:gridCol w:w="1805"/>
      </w:tblGrid>
      <w:tr>
        <w:trPr>
          <w:tblHeader/>
        </w:trPr>
        <w:tc>
          <w:tcPr>
            <w:tcW w:type="dxa" w:w="1805"/>
          </w:tcPr>
          <w:p>
            <w:r>
              <w:rPr>
                <w:sz w:val="18"/>
              </w:rPr>
              <w:t>Ordem / ID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Item de backlog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Origem / prioridade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Tamanho / entrega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Critério de aceitação</w:t>
            </w:r>
          </w:p>
        </w:tc>
      </w:tr>
      <w:tr>
        <w:tc>
          <w:tcPr>
            <w:tcW w:type="dxa" w:w="1805"/>
          </w:tcPr>
          <w:p>
            <w:r>
              <w:rPr>
                <w:sz w:val="18"/>
              </w:rPr>
              <w:t>1 · A8R01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Acesso por perfil: atendente, técnico e administrador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RNF2 · Must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G · I1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Autenticar usuários e negar acesso sem permissão, inclusive por acesso direto.</w:t>
            </w:r>
          </w:p>
        </w:tc>
      </w:tr>
      <w:tr>
        <w:tc>
          <w:tcPr>
            <w:tcW w:type="dxa" w:w="1805"/>
          </w:tcPr>
          <w:p>
            <w:r>
              <w:rPr>
                <w:sz w:val="18"/>
              </w:rPr>
              <w:t>2 · A8R02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Cadastrar cliente e equipamento vinculado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RF1, HU1 · Must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M · I1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Salvar nome, telefone, tipo e defeito; indicar todos os obrigatórios ausentes.</w:t>
            </w:r>
          </w:p>
        </w:tc>
      </w:tr>
      <w:tr>
        <w:tc>
          <w:tcPr>
            <w:tcW w:type="dxa" w:w="1805"/>
          </w:tcPr>
          <w:p>
            <w:r>
              <w:rPr>
                <w:sz w:val="18"/>
              </w:rPr>
              <w:t>3 · A8R03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Abrir ordem de serviço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RF2, RN1, HU1 · Must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M · I1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Gerar número único, data de abertura e estado ABERTA para cliente/equipamento válidos.</w:t>
            </w:r>
          </w:p>
        </w:tc>
      </w:tr>
      <w:tr>
        <w:tc>
          <w:tcPr>
            <w:tcW w:type="dxa" w:w="1805"/>
          </w:tcPr>
          <w:p>
            <w:r>
              <w:rPr>
                <w:sz w:val="18"/>
              </w:rPr>
              <w:t>4 · A8R04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Localizar OS pelo número e consultar detalhes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RF3, HU1 · Must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P · I1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Busca exata mostra cliente, equipamento, técnico (ou não atribuído) e estado; tratar ausência.</w:t>
            </w:r>
          </w:p>
        </w:tc>
      </w:tr>
      <w:tr>
        <w:tc>
          <w:tcPr>
            <w:tcW w:type="dxa" w:w="1805"/>
          </w:tcPr>
          <w:p>
            <w:r>
              <w:rPr>
                <w:sz w:val="18"/>
              </w:rPr>
              <w:t>5 · A8R05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Registrar e consultar histórico da OS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RF3, HU1, HU2 · Must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M · I1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Eventos cronológicos com data, hora, usuário e alteração; integrar novos eventos no I2.</w:t>
            </w:r>
          </w:p>
        </w:tc>
      </w:tr>
      <w:tr>
        <w:tc>
          <w:tcPr>
            <w:tcW w:type="dxa" w:w="1805"/>
          </w:tcPr>
          <w:p>
            <w:r>
              <w:rPr>
                <w:sz w:val="18"/>
              </w:rPr>
              <w:t>6 · A8R06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Atribuir técnico, listar suas OS e iniciar atendimento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RF2, RN1, HU2 · Must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M · I2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ABERTA passa a EM ATENDIMENTO com responsável e evento no histórico.</w:t>
            </w:r>
          </w:p>
        </w:tc>
      </w:tr>
      <w:tr>
        <w:tc>
          <w:tcPr>
            <w:tcW w:type="dxa" w:w="1805"/>
          </w:tcPr>
          <w:p>
            <w:r>
              <w:rPr>
                <w:sz w:val="18"/>
              </w:rPr>
              <w:t>7 · A8R07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Concluir atendimento e proteger o estado final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RF2, RN1, HU2 · Must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M · I2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Concluir OS em atendimento; rejeitar retorno de CONCLUÍDA a estados anteriores.</w:t>
            </w:r>
          </w:p>
        </w:tc>
      </w:tr>
      <w:tr>
        <w:tc>
          <w:tcPr>
            <w:tcW w:type="dxa" w:w="1805"/>
          </w:tcPr>
          <w:p>
            <w:r>
              <w:rPr>
                <w:sz w:val="18"/>
              </w:rPr>
              <w:t>8 · A8R08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Pesquisar por cliente e equipamento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RF3, HU1 · Must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M · I2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Nome parcial retorna todas as correspondências; equipamento selecionado filtra suas OS.</w:t>
            </w:r>
          </w:p>
        </w:tc>
      </w:tr>
      <w:tr>
        <w:tc>
          <w:tcPr>
            <w:tcW w:type="dxa" w:w="1805"/>
          </w:tcPr>
          <w:p>
            <w:r>
              <w:rPr>
                <w:sz w:val="18"/>
              </w:rPr>
              <w:t>9 · A8R09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Garantir resposta rápida nas operações principais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RNF1 · Should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G · I2</w:t>
            </w:r>
          </w:p>
        </w:tc>
        <w:tc>
          <w:tcPr>
            <w:tcW w:type="dxa" w:w="1805"/>
          </w:tcPr>
          <w:p>
            <w:r>
              <w:rPr>
                <w:sz w:val="18"/>
              </w:rPr>
              <w:t>Meta: até 2 s em pelo menos 95% das operações no cenário de carga acordado.</w:t>
            </w:r>
          </w:p>
        </w:tc>
      </w:tr>
    </w:tbl>
    <w:p>
      <w:r>
        <w:t>Rastreabilidade integral: RF1 → A8R02; RF2 → A8R03/A8R06/A8R07; RF3 → A8R04/A8R05/A8R08; RN1 → A8R03/A8R06/A8R07; RNF2 → A8R01 e todos os fluxos; RNF1 → A8R09; HU1 → A8R02–A8R05/A8R08; HU2 → A8R05–A8R07.</w:t>
      </w:r>
    </w:p>
    <w:p>
      <w:pPr>
        <w:pStyle w:val="Heading2"/>
      </w:pPr>
      <w:r>
        <w:t>2.3 Referência para estimativas</w:t>
      </w:r>
    </w:p>
    <w:p>
      <w:r>
        <w:t>P: uma regra simples e consulta delimitada; M: múltiplas validações, relacionamentos ou alteração com histórico; G: segurança ou desempenho com incerteza e validação transversal. A8R04 é a referência P. Os tamanhos incluem interface, lógica, persistência e verificação, sem equivalência fixa em horas.</w:t>
      </w:r>
    </w:p>
    <w:p>
      <w:r>
        <w:t>A8R01 é G porque o login local atual não comprova proteção real. A8R09 é G porque depende de carga, ambiente e possíveis ajustes. Os M envolvem vínculos, estados ou eventos; A8R05 inclui a integração do histórico nos fluxos do I2, sem dupla contagem. Estimativas propostas: não há registro de consenso. Para fechar, cada integrante estima separadamente, compara diferenças usando A8R04 como referência e registra o tamanho acordado antes de planejar datas.</w:t>
      </w:r>
    </w:p>
    <w:p>
      <w:r>
        <w:br w:type="page"/>
      </w:r>
    </w:p>
    <w:p>
      <w:pPr>
        <w:pStyle w:val="Heading2"/>
      </w:pPr>
      <w:r>
        <w:t>2.4 Incrementos por valor ao usuário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6B8C4"/>
          <w:left w:val="single" w:sz="4" w:color="A6B8C4"/>
          <w:bottom w:val="single" w:sz="4" w:color="A6B8C4"/>
          <w:right w:val="single" w:sz="4" w:color="A6B8C4"/>
          <w:insideH w:val="single" w:sz="4" w:color="A6B8C4"/>
          <w:insideV w:val="single" w:sz="4" w:color="A6B8C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</w:tcPr>
          <w:p>
            <w:r>
              <w:rPr>
                <w:sz w:val="18"/>
              </w:rPr>
              <w:t>Incremento / itens</w:t>
            </w:r>
          </w:p>
        </w:tc>
        <w:tc>
          <w:tcPr>
            <w:tcW w:type="dxa" w:w="3009"/>
          </w:tcPr>
          <w:p>
            <w:r>
              <w:rPr>
                <w:sz w:val="18"/>
              </w:rPr>
              <w:t>Valor e demonstração</w:t>
            </w:r>
          </w:p>
        </w:tc>
        <w:tc>
          <w:tcPr>
            <w:tcW w:type="dxa" w:w="3009"/>
          </w:tcPr>
          <w:p>
            <w:r>
              <w:rPr>
                <w:sz w:val="18"/>
              </w:rPr>
              <w:t>Condição de conclusão</w:t>
            </w:r>
          </w:p>
        </w:tc>
      </w:tr>
      <w:tr>
        <w:tc>
          <w:tcPr>
            <w:tcW w:type="dxa" w:w="3009"/>
          </w:tcPr>
          <w:p>
            <w:r>
              <w:rPr>
                <w:sz w:val="18"/>
              </w:rPr>
              <w:t>I1 — Receber e localizar um atendimento</w:t>
              <w:br/>
              <w:t>A8R01–A8R05</w:t>
              <w:br/>
              <w:t>1 P + 3 M + 1 G</w:t>
            </w:r>
          </w:p>
        </w:tc>
        <w:tc>
          <w:tcPr>
            <w:tcW w:type="dxa" w:w="3009"/>
          </w:tcPr>
          <w:p>
            <w:r>
              <w:rPr>
                <w:sz w:val="18"/>
              </w:rPr>
              <w:t>O atendente autorizado cadastra cliente/equipamento, abre OS e recupera protocolo e histórico inicial, substituindo o registro em papel.</w:t>
            </w:r>
          </w:p>
        </w:tc>
        <w:tc>
          <w:tcPr>
            <w:tcW w:type="dxa" w:w="3009"/>
          </w:tcPr>
          <w:p>
            <w:r>
              <w:rPr>
                <w:sz w:val="18"/>
              </w:rPr>
              <w:t>Demonstrar cadastro válido e inválido, criação ABERTA, pesquisa por número e evento de abertura; bloquear perfil sem permissão.</w:t>
            </w:r>
          </w:p>
        </w:tc>
      </w:tr>
      <w:tr>
        <w:tc>
          <w:tcPr>
            <w:tcW w:type="dxa" w:w="3009"/>
          </w:tcPr>
          <w:p>
            <w:r>
              <w:rPr>
                <w:sz w:val="18"/>
              </w:rPr>
              <w:t>I2 — Acompanhar e concluir o serviço</w:t>
              <w:br/>
              <w:t>A8R06–A8R09</w:t>
              <w:br/>
              <w:t>3 M + 1 G</w:t>
            </w:r>
          </w:p>
        </w:tc>
        <w:tc>
          <w:tcPr>
            <w:tcW w:type="dxa" w:w="3009"/>
          </w:tcPr>
          <w:p>
            <w:r>
              <w:rPr>
                <w:sz w:val="18"/>
              </w:rPr>
              <w:t>Sobre o I1, o técnico acompanha suas OS, inicia e conclui o serviço. O atendente pesquisa por cliente/equipamento e consulta a evolução.</w:t>
            </w:r>
          </w:p>
        </w:tc>
        <w:tc>
          <w:tcPr>
            <w:tcW w:type="dxa" w:w="3009"/>
          </w:tcPr>
          <w:p>
            <w:r>
              <w:rPr>
                <w:sz w:val="18"/>
              </w:rPr>
              <w:t>Demonstrar ciclo ABERTA → EM ATENDIMENTO → CONCLUÍDA, histórico completo, rejeição de regressão, buscas e medição de desempenho.</w:t>
            </w:r>
          </w:p>
        </w:tc>
      </w:tr>
    </w:tbl>
    <w:p>
      <w:r>
        <w:t>Cada incremento entrega o fluxo inteiro necessário ao usuário. Acesso, armazenamento e verificações acompanham os fluxos. I1 é útil para recepção e consulta; I2 completa a operação de manutenção. Não há promessa de prazo sem capacidade e consenso da equipe.</w:t>
      </w:r>
    </w:p>
    <w:p>
      <w:r>
        <w:t>Propostas a validar: atendente cadastra/abre/consulta dados operacionais; técnico consulta e atualiza OS atribuídas; administrador gerencia permissões e acessa dados administrativos/valores. Nenhum outro perfil acessa esses dados. Carga inicial de referência para RNF1: 10 usuários simultâneos, 1.000 OS, 100 operações por fluxo (cadastro, abertura, atualização e busca), medindo do comando à resposta. São parâmetros propostos, não definições comprovadas da A5. Registrar ambiente e exigir ao menos 95 operações em até 2 s por fluxo.</w:t>
      </w:r>
    </w:p>
    <w:p>
      <w:pPr>
        <w:pStyle w:val="Heading2"/>
      </w:pPr>
      <w:r>
        <w:t>2.5 Riscos, classificação e mitigação</w:t>
      </w:r>
    </w:p>
    <w:p>
      <w:r>
        <w:t>Escala qualitativa de probabilidade: baixa = sem indício atual; média = dependência ainda não validada; alta = condição já observada. Impacto: baixo = ajuste local; médio = retrabalho em um item; alto = compromete incremento, integridade ou confidencialidade. Pontuação: baixa/baixo=1, média/médio=2, alta/alto=3; P × I: 1–2 baixo, 3–4 moderado, 6–9 alto. Avaliação proposta, anterior às mitigações.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6B8C4"/>
          <w:left w:val="single" w:sz="4" w:color="A6B8C4"/>
          <w:bottom w:val="single" w:sz="4" w:color="A6B8C4"/>
          <w:right w:val="single" w:sz="4" w:color="A6B8C4"/>
          <w:insideH w:val="single" w:sz="4" w:color="A6B8C4"/>
          <w:insideV w:val="single" w:sz="4" w:color="A6B8C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</w:tcPr>
          <w:p>
            <w:r>
              <w:rPr>
                <w:sz w:val="18"/>
              </w:rPr>
              <w:t>Risco / justificativa</w:t>
            </w:r>
          </w:p>
        </w:tc>
        <w:tc>
          <w:tcPr>
            <w:tcW w:type="dxa" w:w="3009"/>
          </w:tcPr>
          <w:p>
            <w:r>
              <w:rPr>
                <w:sz w:val="18"/>
              </w:rPr>
              <w:t>P × I / nível</w:t>
            </w:r>
          </w:p>
        </w:tc>
        <w:tc>
          <w:tcPr>
            <w:tcW w:type="dxa" w:w="3009"/>
          </w:tcPr>
          <w:p>
            <w:r>
              <w:rPr>
                <w:sz w:val="18"/>
              </w:rPr>
              <w:t>Mitigação concreta / responsável proposto</w:t>
            </w:r>
          </w:p>
        </w:tc>
      </w:tr>
      <w:tr>
        <w:tc>
          <w:tcPr>
            <w:tcW w:type="dxa" w:w="3009"/>
          </w:tcPr>
          <w:p>
            <w:r>
              <w:rPr>
                <w:sz w:val="18"/>
              </w:rPr>
              <w:t>R1 — Divergência de escopo causa retrabalho; A8 antiga inclui funções fora da A5.</w:t>
            </w:r>
          </w:p>
        </w:tc>
        <w:tc>
          <w:tcPr>
            <w:tcW w:type="dxa" w:w="3009"/>
          </w:tcPr>
          <w:p>
            <w:r>
              <w:rPr>
                <w:sz w:val="18"/>
              </w:rPr>
              <w:t>Alta (3) × Alto (3) = 9 / alto</w:t>
            </w:r>
          </w:p>
        </w:tc>
        <w:tc>
          <w:tcPr>
            <w:tcW w:type="dxa" w:w="3009"/>
          </w:tcPr>
          <w:p>
            <w:r>
              <w:rPr>
                <w:sz w:val="18"/>
              </w:rPr>
              <w:t>Arthur: revisar mapa A5 → A8R antes do I1; manter pagamento/avaliação/relatório fora desta linha de base até requisito aprovado. Evidência: backlog revisado.</w:t>
            </w:r>
          </w:p>
        </w:tc>
      </w:tr>
      <w:tr>
        <w:tc>
          <w:tcPr>
            <w:tcW w:type="dxa" w:w="3009"/>
          </w:tcPr>
          <w:p>
            <w:r>
              <w:rPr>
                <w:sz w:val="18"/>
              </w:rPr>
              <w:t>R2 — Acesso indevido: login atual é local no navegador.</w:t>
            </w:r>
          </w:p>
        </w:tc>
        <w:tc>
          <w:tcPr>
            <w:tcW w:type="dxa" w:w="3009"/>
          </w:tcPr>
          <w:p>
            <w:r>
              <w:rPr>
                <w:sz w:val="18"/>
              </w:rPr>
              <w:t>Alta (3) × Alto (3) = 9 / alto</w:t>
            </w:r>
          </w:p>
        </w:tc>
        <w:tc>
          <w:tcPr>
            <w:tcW w:type="dxa" w:w="3009"/>
          </w:tcPr>
          <w:p>
            <w:r>
              <w:rPr>
                <w:sz w:val="18"/>
              </w:rPr>
              <w:t>Arthur: implementar verificação de identidade e autorização em camada confiável; verificar cada operação protegida com perfis sem permissão e acesso direto. Bloquear implantação enquanto falhar.</w:t>
            </w:r>
          </w:p>
        </w:tc>
      </w:tr>
      <w:tr>
        <w:tc>
          <w:tcPr>
            <w:tcW w:type="dxa" w:w="3009"/>
          </w:tcPr>
          <w:p>
            <w:r>
              <w:rPr>
                <w:sz w:val="18"/>
              </w:rPr>
              <w:t>R3 — Alteração de estado ou responsável sem histórico causa perda de rastreabilidade.</w:t>
            </w:r>
          </w:p>
        </w:tc>
        <w:tc>
          <w:tcPr>
            <w:tcW w:type="dxa" w:w="3009"/>
          </w:tcPr>
          <w:p>
            <w:r>
              <w:rPr>
                <w:sz w:val="18"/>
              </w:rPr>
              <w:t>Média (2) × Alto (3) = 6 / alto</w:t>
            </w:r>
          </w:p>
        </w:tc>
        <w:tc>
          <w:tcPr>
            <w:tcW w:type="dxa" w:w="3009"/>
          </w:tcPr>
          <w:p>
            <w:r>
              <w:rPr>
                <w:sz w:val="18"/>
              </w:rPr>
              <w:t>Lucas: gravar alteração e evento juntos; testar falha de gravação, técnico ausente e tentativa de reabrir OS concluída antes de encerrar I2.</w:t>
            </w:r>
          </w:p>
        </w:tc>
      </w:tr>
      <w:tr>
        <w:tc>
          <w:tcPr>
            <w:tcW w:type="dxa" w:w="3009"/>
          </w:tcPr>
          <w:p>
            <w:r>
              <w:rPr>
                <w:sz w:val="18"/>
              </w:rPr>
              <w:t>R4 — Carga e ambiente indefinidos tornam a meta de 2 s não demonstrável.</w:t>
            </w:r>
          </w:p>
        </w:tc>
        <w:tc>
          <w:tcPr>
            <w:tcW w:type="dxa" w:w="3009"/>
          </w:tcPr>
          <w:p>
            <w:r>
              <w:rPr>
                <w:sz w:val="18"/>
              </w:rPr>
              <w:t>Média (2) × Médio (2) = 4 / moderado</w:t>
            </w:r>
          </w:p>
        </w:tc>
        <w:tc>
          <w:tcPr>
            <w:tcW w:type="dxa" w:w="3009"/>
          </w:tcPr>
          <w:p>
            <w:r>
              <w:rPr>
                <w:sz w:val="18"/>
              </w:rPr>
              <w:t>Lucas: validar cenário de carga ainda no I1; preparar massa de dados, medir por fluxo e reservar ajustes no A8R09. Evidência: relatório de medições do I2.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A6B8C4"/>
          <w:left w:val="single" w:sz="4" w:color="A6B8C4"/>
          <w:bottom w:val="single" w:sz="4" w:color="A6B8C4"/>
          <w:right w:val="single" w:sz="4" w:color="A6B8C4"/>
          <w:insideH w:val="single" w:sz="4" w:color="A6B8C4"/>
          <w:insideV w:val="single" w:sz="4" w:color="A6B8C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</w:tcPr>
          <w:p>
            <w:r>
              <w:rPr>
                <w:sz w:val="18"/>
              </w:rPr>
              <w:t>Probabilidade / Impacto</w:t>
            </w:r>
          </w:p>
        </w:tc>
        <w:tc>
          <w:tcPr>
            <w:tcW w:type="dxa" w:w="2256"/>
          </w:tcPr>
          <w:p>
            <w:r>
              <w:rPr>
                <w:sz w:val="18"/>
              </w:rPr>
              <w:t>Baixo (1)</w:t>
            </w:r>
          </w:p>
        </w:tc>
        <w:tc>
          <w:tcPr>
            <w:tcW w:type="dxa" w:w="2256"/>
          </w:tcPr>
          <w:p>
            <w:r>
              <w:rPr>
                <w:sz w:val="18"/>
              </w:rPr>
              <w:t>Médio (2)</w:t>
            </w:r>
          </w:p>
        </w:tc>
        <w:tc>
          <w:tcPr>
            <w:tcW w:type="dxa" w:w="2256"/>
          </w:tcPr>
          <w:p>
            <w:r>
              <w:rPr>
                <w:sz w:val="18"/>
              </w:rPr>
              <w:t>Alto (3)</w:t>
            </w:r>
          </w:p>
        </w:tc>
      </w:tr>
      <w:tr>
        <w:tc>
          <w:tcPr>
            <w:tcW w:type="dxa" w:w="2256"/>
          </w:tcPr>
          <w:p>
            <w:r>
              <w:rPr>
                <w:sz w:val="18"/>
              </w:rPr>
              <w:t>Alta (3)</w:t>
            </w:r>
          </w:p>
        </w:tc>
        <w:tc>
          <w:tcPr>
            <w:tcW w:type="dxa" w:w="2256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56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56"/>
          </w:tcPr>
          <w:p>
            <w:r>
              <w:rPr>
                <w:sz w:val="18"/>
              </w:rPr>
              <w:t>R1, R2</w:t>
            </w:r>
          </w:p>
        </w:tc>
      </w:tr>
      <w:tr>
        <w:tc>
          <w:tcPr>
            <w:tcW w:type="dxa" w:w="2256"/>
          </w:tcPr>
          <w:p>
            <w:r>
              <w:rPr>
                <w:sz w:val="18"/>
              </w:rPr>
              <w:t>Média (2)</w:t>
            </w:r>
          </w:p>
        </w:tc>
        <w:tc>
          <w:tcPr>
            <w:tcW w:type="dxa" w:w="2256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56"/>
          </w:tcPr>
          <w:p>
            <w:r>
              <w:rPr>
                <w:sz w:val="18"/>
              </w:rPr>
              <w:t>R4</w:t>
            </w:r>
          </w:p>
        </w:tc>
        <w:tc>
          <w:tcPr>
            <w:tcW w:type="dxa" w:w="2256"/>
          </w:tcPr>
          <w:p>
            <w:r>
              <w:rPr>
                <w:sz w:val="18"/>
              </w:rPr>
              <w:t>R3</w:t>
            </w:r>
          </w:p>
        </w:tc>
      </w:tr>
      <w:tr>
        <w:tc>
          <w:tcPr>
            <w:tcW w:type="dxa" w:w="2256"/>
          </w:tcPr>
          <w:p>
            <w:r>
              <w:rPr>
                <w:sz w:val="18"/>
              </w:rPr>
              <w:t>Baixa (1)</w:t>
            </w:r>
          </w:p>
        </w:tc>
        <w:tc>
          <w:tcPr>
            <w:tcW w:type="dxa" w:w="2256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56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56"/>
          </w:tcPr>
          <w:p>
            <w:r>
              <w:rPr>
                <w:sz w:val="18"/>
              </w:rPr>
              <w:t>—</w:t>
            </w:r>
          </w:p>
        </w:tc>
      </w:tr>
    </w:tbl>
    <w:p>
      <w:pPr>
        <w:pStyle w:val="Heading2"/>
      </w:pPr>
      <w:r>
        <w:t>2.6 Correções verificáveis em relação à A8 anterior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6B8C4"/>
          <w:left w:val="single" w:sz="4" w:color="A6B8C4"/>
          <w:bottom w:val="single" w:sz="4" w:color="A6B8C4"/>
          <w:right w:val="single" w:sz="4" w:color="A6B8C4"/>
          <w:insideH w:val="single" w:sz="4" w:color="A6B8C4"/>
          <w:insideV w:val="single" w:sz="4" w:color="A6B8C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</w:tcPr>
          <w:p>
            <w:r>
              <w:rPr>
                <w:sz w:val="18"/>
              </w:rPr>
              <w:t>Antes — Atividade_A8.pdf</w:t>
            </w:r>
          </w:p>
        </w:tc>
        <w:tc>
          <w:tcPr>
            <w:tcW w:type="dxa" w:w="3009"/>
          </w:tcPr>
          <w:p>
            <w:r>
              <w:rPr>
                <w:sz w:val="18"/>
              </w:rPr>
              <w:t>Agora — revisão</w:t>
            </w:r>
          </w:p>
        </w:tc>
        <w:tc>
          <w:tcPr>
            <w:tcW w:type="dxa" w:w="3009"/>
          </w:tcPr>
          <w:p>
            <w:r>
              <w:rPr>
                <w:sz w:val="18"/>
              </w:rPr>
              <w:t>Motivo</w:t>
            </w:r>
          </w:p>
        </w:tc>
      </w:tr>
      <w:tr>
        <w:tc>
          <w:tcPr>
            <w:tcW w:type="dxa" w:w="3009"/>
          </w:tcPr>
          <w:p>
            <w:r>
              <w:rPr>
                <w:sz w:val="18"/>
              </w:rPr>
              <w:t>B01/B02/B03: cliente opera solicitação e consulta.</w:t>
            </w:r>
          </w:p>
        </w:tc>
        <w:tc>
          <w:tcPr>
            <w:tcW w:type="dxa" w:w="3009"/>
          </w:tcPr>
          <w:p>
            <w:r>
              <w:rPr>
                <w:sz w:val="18"/>
              </w:rPr>
              <w:t>A8R02/A8R03/A8R04: atendente opera cadastro e OS.</w:t>
            </w:r>
          </w:p>
        </w:tc>
        <w:tc>
          <w:tcPr>
            <w:tcW w:type="dxa" w:w="3009"/>
          </w:tcPr>
          <w:p>
            <w:r>
              <w:rPr>
                <w:sz w:val="18"/>
              </w:rPr>
              <w:t>Aderência a HU1 e critérios da A5.</w:t>
            </w:r>
          </w:p>
        </w:tc>
      </w:tr>
      <w:tr>
        <w:tc>
          <w:tcPr>
            <w:tcW w:type="dxa" w:w="3009"/>
          </w:tcPr>
          <w:p>
            <w:r>
              <w:rPr>
                <w:sz w:val="18"/>
              </w:rPr>
              <w:t>B04: login técnico apenas no I2.</w:t>
            </w:r>
          </w:p>
        </w:tc>
        <w:tc>
          <w:tcPr>
            <w:tcW w:type="dxa" w:w="3009"/>
          </w:tcPr>
          <w:p>
            <w:r>
              <w:rPr>
                <w:sz w:val="18"/>
              </w:rPr>
              <w:t>A8R01: acesso por perfil desde I1.</w:t>
            </w:r>
          </w:p>
        </w:tc>
        <w:tc>
          <w:tcPr>
            <w:tcW w:type="dxa" w:w="3009"/>
          </w:tcPr>
          <w:p>
            <w:r>
              <w:rPr>
                <w:sz w:val="18"/>
              </w:rPr>
              <w:t>RNF2 é Must have; segurança acompanha o primeiro fluxo.</w:t>
            </w:r>
          </w:p>
        </w:tc>
      </w:tr>
      <w:tr>
        <w:tc>
          <w:tcPr>
            <w:tcW w:type="dxa" w:w="3009"/>
          </w:tcPr>
          <w:p>
            <w:r>
              <w:rPr>
                <w:sz w:val="18"/>
              </w:rPr>
              <w:t>Em Análise e Em Conserto.</w:t>
            </w:r>
          </w:p>
        </w:tc>
        <w:tc>
          <w:tcPr>
            <w:tcW w:type="dxa" w:w="3009"/>
          </w:tcPr>
          <w:p>
            <w:r>
              <w:rPr>
                <w:sz w:val="18"/>
              </w:rPr>
              <w:t>ABERTA, EM ATENDIMENTO e CONCLUÍDA.</w:t>
            </w:r>
          </w:p>
        </w:tc>
        <w:tc>
          <w:tcPr>
            <w:tcW w:type="dxa" w:w="3009"/>
          </w:tcPr>
          <w:p>
            <w:r>
              <w:rPr>
                <w:sz w:val="18"/>
              </w:rPr>
              <w:t>Uniformizar com RN1 e A5.</w:t>
            </w:r>
          </w:p>
        </w:tc>
      </w:tr>
      <w:tr>
        <w:tc>
          <w:tcPr>
            <w:tcW w:type="dxa" w:w="3009"/>
          </w:tcPr>
          <w:p>
            <w:r>
              <w:rPr>
                <w:sz w:val="18"/>
              </w:rPr>
              <w:t>B06/B07: diagnóstico, peças e cálculo; B08–B10: pagamento, avaliação e relatório.</w:t>
            </w:r>
          </w:p>
        </w:tc>
        <w:tc>
          <w:tcPr>
            <w:tcW w:type="dxa" w:w="3009"/>
          </w:tcPr>
          <w:p>
            <w:r>
              <w:rPr>
                <w:sz w:val="18"/>
              </w:rPr>
              <w:t>Retirados da linha de base A5; B05/B07 preservam apenas atribuição e conclusão em A8R06/A8R07.</w:t>
            </w:r>
          </w:p>
        </w:tc>
        <w:tc>
          <w:tcPr>
            <w:tcW w:type="dxa" w:w="3009"/>
          </w:tcPr>
          <w:p>
            <w:r>
              <w:rPr>
                <w:sz w:val="18"/>
              </w:rPr>
              <w:t>Não há requisito correspondente para as extensões; não confundir com funcionalidades existentes no protótipo.</w:t>
            </w:r>
          </w:p>
        </w:tc>
      </w:tr>
      <w:tr>
        <w:tc>
          <w:tcPr>
            <w:tcW w:type="dxa" w:w="3009"/>
          </w:tcPr>
          <w:p>
            <w:r>
              <w:rPr>
                <w:sz w:val="18"/>
              </w:rPr>
              <w:t>Histórico, busca por equipamento e RNF1 sem cobertura explícita.</w:t>
            </w:r>
          </w:p>
        </w:tc>
        <w:tc>
          <w:tcPr>
            <w:tcW w:type="dxa" w:w="3009"/>
          </w:tcPr>
          <w:p>
            <w:r>
              <w:rPr>
                <w:sz w:val="18"/>
              </w:rPr>
              <w:t>A8R05, A8R08 e A8R09.</w:t>
            </w:r>
          </w:p>
        </w:tc>
        <w:tc>
          <w:tcPr>
            <w:tcW w:type="dxa" w:w="3009"/>
          </w:tcPr>
          <w:p>
            <w:r>
              <w:rPr>
                <w:sz w:val="18"/>
              </w:rPr>
              <w:t>Cobrir todos os requisitos priorizados.</w:t>
            </w:r>
          </w:p>
        </w:tc>
      </w:tr>
      <w:tr>
        <w:tc>
          <w:tcPr>
            <w:tcW w:type="dxa" w:w="3009"/>
          </w:tcPr>
          <w:p>
            <w:r>
              <w:rPr>
                <w:sz w:val="18"/>
              </w:rPr>
              <w:t>I3 citado sem descrição; estimativas sem referência.</w:t>
            </w:r>
          </w:p>
        </w:tc>
        <w:tc>
          <w:tcPr>
            <w:tcW w:type="dxa" w:w="3009"/>
          </w:tcPr>
          <w:p>
            <w:r>
              <w:rPr>
                <w:sz w:val="18"/>
              </w:rPr>
              <w:t>Dois incrementos detalhados; escala e justificativas registradas.</w:t>
            </w:r>
          </w:p>
        </w:tc>
        <w:tc>
          <w:tcPr>
            <w:tcW w:type="dxa" w:w="3009"/>
          </w:tcPr>
          <w:p>
            <w:r>
              <w:rPr>
                <w:sz w:val="18"/>
              </w:rPr>
              <w:t>Plano demonstrável e estimativas comparáveis.</w:t>
            </w:r>
          </w:p>
        </w:tc>
      </w:tr>
      <w:tr>
        <w:tc>
          <w:tcPr>
            <w:tcW w:type="dxa" w:w="3009"/>
          </w:tcPr>
          <w:p>
            <w:r>
              <w:rPr>
                <w:sz w:val="18"/>
              </w:rPr>
              <w:t>Riscos centrados em peças e pagamentos.</w:t>
            </w:r>
          </w:p>
        </w:tc>
        <w:tc>
          <w:tcPr>
            <w:tcW w:type="dxa" w:w="3009"/>
          </w:tcPr>
          <w:p>
            <w:r>
              <w:rPr>
                <w:sz w:val="18"/>
              </w:rPr>
              <w:t>Riscos de escopo, acesso, histórico e desempenho.</w:t>
            </w:r>
          </w:p>
        </w:tc>
        <w:tc>
          <w:tcPr>
            <w:tcW w:type="dxa" w:w="3009"/>
          </w:tcPr>
          <w:p>
            <w:r>
              <w:rPr>
                <w:sz w:val="18"/>
              </w:rPr>
              <w:t>Mitigação vinculada ao escopo efetivo.</w:t>
            </w:r>
          </w:p>
        </w:tc>
      </w:tr>
    </w:tbl>
    <w:p w:rsidR="00000000" w:rsidDel="00000000" w:rsidP="00000000" w:rsidRDefault="00000000" w:rsidRPr="00000000" w14:paraId="0000000C">
      <w:pPr>
        <w:pStyle w:val="Heading1"/>
        <w:spacing w:after="160" w:before="320" w:lineRule="auto"/>
        <w:jc w:val="both"/>
        <w:rPr>
          <w:rFonts w:ascii="Inter Tight" w:cs="Inter Tight" w:eastAsia="Inter Tight" w:hAnsi="Inter Tight"/>
          <w:color w:val="000000"/>
          <w:sz w:val="20"/>
          <w:szCs w:val="20"/>
        </w:rPr>
      </w:pPr>
      <w:r w:rsidDel="00000000" w:rsidR="00000000" w:rsidRPr="00000000">
        <w:rPr>
          <w:rFonts w:ascii="Inter Tight" w:cs="Inter Tight" w:eastAsia="Inter Tight" w:hAnsi="Inter Tight"/>
          <w:color w:val="000000"/>
          <w:sz w:val="20"/>
          <w:szCs w:val="20"/>
          <w:rtl w:val="0"/>
        </w:rPr>
        <w:t xml:space="preserve">3. Decisões e pendências</w:t>
      </w:r>
    </w:p>
    <w:p w:rsidR="00000000" w:rsidDel="00000000" w:rsidP="00000000" w:rsidRDefault="00000000" w:rsidRPr="00000000" w14:paraId="0000000D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Registre as principais decisões tomadas pela equipe nesta etapa e o que ainda está pendente para a próxima entrega.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260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>Decisões tomadas: Adotar esta revisão como proposta coerente com A5. Pendentes: consenso de estimativas, confirmação dos perfis/carga e responsáveis propostos, etapa e data do AVA, revisão e assinaturas. Não foi alterado o código nem declarado que os incrementos já estejam implementados.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260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>Pendências / próximos passos: revisar o conteúdo com os integrantes, confirmar estimativas e decisões propostas, preencher etapa e data efetiva de entrega e assinar após validação. Na modelagem, confirmar também o código da atividade no AVA.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spacing w:after="160" w:before="320" w:lineRule="auto"/>
        <w:jc w:val="both"/>
        <w:rPr>
          <w:rFonts w:ascii="Inter Tight" w:cs="Inter Tight" w:eastAsia="Inter Tight" w:hAnsi="Inter Tight"/>
          <w:color w:val="000000"/>
          <w:sz w:val="20"/>
          <w:szCs w:val="20"/>
        </w:rPr>
      </w:pPr>
      <w:r w:rsidDel="00000000" w:rsidR="00000000" w:rsidRPr="00000000">
        <w:rPr>
          <w:rFonts w:ascii="Inter Tight" w:cs="Inter Tight" w:eastAsia="Inter Tight" w:hAnsi="Inter Tight"/>
          <w:color w:val="000000"/>
          <w:sz w:val="20"/>
          <w:szCs w:val="20"/>
          <w:rtl w:val="0"/>
        </w:rPr>
        <w:t xml:space="preserve">4. Declaração de uso de Inteligência Artificial</w:t>
      </w:r>
    </w:p>
    <w:p w:rsidR="00000000" w:rsidDel="00000000" w:rsidP="00000000" w:rsidRDefault="00000000" w:rsidRPr="00000000" w14:paraId="00000011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Conforme o </w:t>
      </w:r>
      <w:hyperlink r:id="rId9">
        <w:r w:rsidDel="00000000" w:rsidR="00000000" w:rsidRPr="00000000">
          <w:rPr>
            <w:rFonts w:ascii="Inter Tight" w:cs="Inter Tight" w:eastAsia="Inter Tight" w:hAnsi="Inter Tight"/>
            <w:color w:val="1155cc"/>
            <w:u w:val="single"/>
            <w:rtl w:val="0"/>
          </w:rPr>
          <w:t xml:space="preserve">Manual da Disciplina</w:t>
        </w:r>
      </w:hyperlink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 (seção 6 — Uso de Inteligência Artificial), toda utilização relevante de IA no desenvolvimento desta atividade deve ser declarada abaixo e também registrada no arquivo DEVLOG.md do repositório do projeto. Se a equipe não utilizou IA nesta atividade, marque a opção correspondente e não é necessário preencher a tabela.</w:t>
      </w:r>
    </w:p>
    <w:p w:rsidR="00000000" w:rsidDel="00000000" w:rsidP="00000000" w:rsidRDefault="00000000" w:rsidRPr="00000000" w14:paraId="00000012">
      <w:pPr>
        <w:spacing w:after="200" w:before="12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( ) A equipe não utilizou ferramentas de IA nesta atividade.</w:t>
      </w:r>
    </w:p>
    <w:p w:rsidR="00000000" w:rsidDel="00000000" w:rsidP="00000000" w:rsidRDefault="00000000" w:rsidRPr="00000000" w14:paraId="00000013">
      <w:pPr>
        <w:spacing w:after="20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>(X) A equipe utilizou ferramentas de IA nesta atividade — declaração abaixo.</w:t>
      </w:r>
    </w:p>
    <w:tbl>
      <w:tblPr>
        <w:tblStyle w:val="Table1"/>
        <w:tblW w:w="9645.0" w:type="dxa"/>
        <w:jc w:val="left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000"/>
      </w:tblPr>
      <w:tblGrid>
        <w:gridCol w:w="1545"/>
        <w:gridCol w:w="2055"/>
        <w:gridCol w:w="3045"/>
        <w:gridCol w:w="3000"/>
        <w:tblGridChange w:id="0">
          <w:tblGrid>
            <w:gridCol w:w="1545"/>
            <w:gridCol w:w="2055"/>
            <w:gridCol w:w="3045"/>
            <w:gridCol w:w="3000"/>
          </w:tblGrid>
        </w:tblGridChange>
      </w:tblGrid>
      <w:tr>
        <w:trPr>
          <w:cantSplit w:val="0"/>
          <w:tblHeader w:val="1"/>
        </w:trPr>
        <w:tc>
          <w:tcPr>
            <w:shd w:fill="f3f3f3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4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Fonts w:ascii="Inter Tight" w:cs="Inter Tight" w:eastAsia="Inter Tight" w:hAnsi="Inter Tight"/>
                <w:b w:val="1"/>
                <w:bCs w:val="1"/>
                <w:rtl w:val="0"/>
              </w:rPr>
              <w:t xml:space="preserve">Data e ferramenta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3f3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5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Fonts w:ascii="Inter Tight" w:cs="Inter Tight" w:eastAsia="Inter Tight" w:hAnsi="Inter Tight"/>
                <w:b w:val="1"/>
                <w:bCs w:val="1"/>
                <w:rtl w:val="0"/>
              </w:rPr>
              <w:t xml:space="preserve">Objetivo do uso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3f3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6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Fonts w:ascii="Inter Tight" w:cs="Inter Tight" w:eastAsia="Inter Tight" w:hAnsi="Inter Tight"/>
                <w:b w:val="1"/>
                <w:bCs w:val="1"/>
                <w:rtl w:val="0"/>
              </w:rPr>
              <w:t xml:space="preserve">Prompt ou resumo da interação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3f3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7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Fonts w:ascii="Inter Tight" w:cs="Inter Tight" w:eastAsia="Inter Tight" w:hAnsi="Inter Tight"/>
                <w:b w:val="1"/>
                <w:bCs w:val="1"/>
                <w:rtl w:val="0"/>
              </w:rPr>
              <w:t xml:space="preserve">Resultado aproveitado / rejeitado / modificado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>
            <w:r>
              <w:t>30/09/2026 — ChatGPT/Codex</w:t>
            </w:r>
          </w:p>
        </w:tc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>
            <w:r>
              <w:t>Preparar e revisar as três entregas de Processos e preencher o documento padrão fornecido.</w:t>
            </w:r>
          </w:p>
        </w:tc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>
            <w:r>
              <w:t>Confrontar A5 e A8; organizar backlog, estimativas, incrementos e riscos; produzir e explicar modelos ligados ao backlog; adequar todos os arquivos à estrutura institucional.</w:t>
            </w:r>
          </w:p>
        </w:tc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>
            <w:r>
              <w:t>Texto e diagramas aproveitados como proposta. Estrutura conferida com o modelo; consenso e validação pelos integrantes ainda pendentes.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C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D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F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20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21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22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23">
            <w:pPr>
              <w:rPr>
                <w:rFonts w:ascii="Inter Tight" w:cs="Inter Tight" w:eastAsia="Inter Tight" w:hAnsi="Inter Tight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b w:val="1"/>
          <w:bCs w:val="1"/>
          <w:rtl w:val="0"/>
        </w:rPr>
        <w:t>Forma de verificação adotada pela equipe: proposta para revisão — confronto com A5, A4 e A8 original; conferir rastreabilidade, modelos, estimativas e critérios. Na preparação com IA foram conferidos o conteúdo e a estrutura dos DOCX; a validação dos integrantes ainda está pendente.</w:t>
      </w:r>
      <w:r w:rsidDel="00000000" w:rsidR="00000000" w:rsidRPr="00000000">
        <w:rPr>
          <w:rFonts w:ascii="Inter Tight" w:cs="Inter Tight" w:eastAsia="Inter Tight" w:hAnsi="Inter Tight"/>
          <w:rtl w:val="0"/>
        </w:rPr>
      </w:r>
    </w:p>
    <w:p w:rsidR="00000000" w:rsidDel="00000000" w:rsidP="00000000" w:rsidRDefault="00000000" w:rsidRPr="00000000" w14:paraId="00000026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b w:val="1"/>
          <w:bCs w:val="1"/>
          <w:rtl w:val="0"/>
        </w:rPr>
        <w:t>Responsável pela decisão final sobre o uso: Arthur Scharfenberger e Lucas Oliveira da Silva.</w:t>
      </w:r>
      <w:r w:rsidDel="00000000" w:rsidR="00000000" w:rsidRPr="00000000">
        <w:rPr>
          <w:rFonts w:ascii="Inter Tight" w:cs="Inter Tight" w:eastAsia="Inter Tight" w:hAnsi="Inter Tight"/>
          <w:rtl w:val="0"/>
        </w:rPr>
      </w:r>
    </w:p>
    <w:p w:rsidR="00000000" w:rsidDel="00000000" w:rsidP="00000000" w:rsidRDefault="00000000" w:rsidRPr="00000000" w14:paraId="00000027">
      <w:pPr>
        <w:pStyle w:val="Heading1"/>
        <w:spacing w:after="160" w:before="320" w:lineRule="auto"/>
        <w:jc w:val="both"/>
        <w:rPr>
          <w:rFonts w:ascii="Inter Tight" w:cs="Inter Tight" w:eastAsia="Inter Tight" w:hAnsi="Inter Tight"/>
          <w:color w:val="000000"/>
          <w:sz w:val="20"/>
          <w:szCs w:val="20"/>
        </w:rPr>
      </w:pPr>
      <w:r w:rsidDel="00000000" w:rsidR="00000000" w:rsidRPr="00000000">
        <w:rPr>
          <w:rFonts w:ascii="Inter Tight" w:cs="Inter Tight" w:eastAsia="Inter Tight" w:hAnsi="Inter Tight"/>
          <w:color w:val="000000"/>
          <w:sz w:val="20"/>
          <w:szCs w:val="20"/>
          <w:rtl w:val="0"/>
        </w:rPr>
        <w:t xml:space="preserve">5. Responsabilidade e autoria</w:t>
      </w:r>
    </w:p>
    <w:p w:rsidR="00000000" w:rsidDel="00000000" w:rsidP="00000000" w:rsidRDefault="00000000" w:rsidRPr="00000000" w14:paraId="00000028">
      <w:pPr>
        <w:spacing w:after="1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 xml:space="preserve">A equipe declara que este documento foi lido, compreendido e validado por todos os integrantes, que respondem integralmente pela correção, coerência, legalidade e autoria do conteúdo entregue. Qualquer integrante poderá ser questionado, em apresentação, sobre partes produzidas com apoio de IA.</w:t>
      </w:r>
    </w:p>
    <w:p w:rsidR="00000000" w:rsidDel="00000000" w:rsidP="00000000" w:rsidRDefault="00000000" w:rsidRPr="00000000" w14:paraId="00000029">
      <w:pPr>
        <w:spacing w:before="20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b w:val="1"/>
          <w:bCs w:val="1"/>
          <w:rtl w:val="0"/>
        </w:rPr>
        <w:t xml:space="preserve">Assinatura (nomes por extenso):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>Arthur Scharfenberger: ____________________________________________________</w:t>
      </w:r>
    </w:p>
    <w:p w:rsidR="00000000" w:rsidDel="00000000" w:rsidP="00000000" w:rsidRDefault="00000000" w:rsidRPr="00000000" w14:paraId="0000002B">
      <w:pPr>
        <w:spacing w:after="60" w:lineRule="auto"/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>Lucas Oliveira da Silva: ____________________________________________________</w:t>
      </w:r>
    </w:p>
    <w:p w:rsidR="00000000" w:rsidDel="00000000" w:rsidP="00000000" w:rsidRDefault="00000000" w:rsidRPr="00000000" w14:paraId="0000002C">
      <w:pPr>
        <w:jc w:val="both"/>
        <w:rPr>
          <w:rFonts w:ascii="Inter Tight" w:cs="Inter Tight" w:eastAsia="Inter Tight" w:hAnsi="Inter Tight"/>
        </w:rPr>
      </w:pPr>
      <w:r w:rsidDel="00000000" w:rsidR="00000000" w:rsidRPr="00000000">
        <w:rPr>
          <w:rFonts w:ascii="Inter Tight" w:cs="Inter Tight" w:eastAsia="Inter Tight" w:hAnsi="Inter Tight"/>
          <w:rtl w:val="0"/>
        </w:rPr>
        <w:t>Validação e assinaturas pendentes: a declaração acima deverá ser confirmada pelos integrantes após leitura e revisão.</w:t>
      </w:r>
    </w:p>
    <w:sectPr>
      <w:headerReference r:id="rId10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Caroline Pacheco da Rosa" w:id="0" w:date="2026-07-29T01:10:03Z"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Alterar para o título da atividade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02F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  <w:font w:name="Inter Tigh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spacing w:after="40" w:lineRule="auto"/>
      <w:jc w:val="right"/>
      <w:rPr>
        <w:rFonts w:ascii="Inter Tight" w:cs="Inter Tight" w:eastAsia="Inter Tight" w:hAnsi="Inter Tight"/>
      </w:rPr>
    </w:pPr>
    <w:r w:rsidDel="00000000" w:rsidR="00000000" w:rsidRPr="00000000">
      <w:rPr>
        <w:rFonts w:ascii="Inter Tight" w:cs="Inter Tight" w:eastAsia="Inter Tight" w:hAnsi="Inter Tight"/>
        <w:rtl w:val="0"/>
      </w:rPr>
      <w:t xml:space="preserve">ULBRA — Universidade Luterana do Brasil</w:t>
    </w:r>
  </w:p>
  <w:p w:rsidR="00000000" w:rsidDel="00000000" w:rsidP="00000000" w:rsidRDefault="00000000" w:rsidRPr="00000000" w14:paraId="0000002E">
    <w:pPr>
      <w:spacing w:after="40" w:lineRule="auto"/>
      <w:jc w:val="right"/>
      <w:rPr/>
    </w:pPr>
    <w:r w:rsidDel="00000000" w:rsidR="00000000" w:rsidRPr="00000000">
      <w:rPr>
        <w:rFonts w:ascii="Inter Tight" w:cs="Inter Tight" w:eastAsia="Inter Tight" w:hAnsi="Inter Tight"/>
        <w:rtl w:val="0"/>
      </w:rPr>
      <w:t xml:space="preserve">Disciplina: Processos de Engenharia de Software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10" Type="http://schemas.openxmlformats.org/officeDocument/2006/relationships/header" Target="header1.xml"/><Relationship Id="rId9" Type="http://schemas.openxmlformats.org/officeDocument/2006/relationships/hyperlink" Target="https://docs.google.com/document/d/14aYzEAxTHf3aXUwWF7M-ru4WBCxaJEpA/edit?usp=sharing&amp;ouid=109829805670264994162&amp;rtpof=true&amp;sd=true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InterTight-regular.ttf"/><Relationship Id="rId2" Type="http://schemas.openxmlformats.org/officeDocument/2006/relationships/font" Target="fonts/InterTight-bold.ttf"/><Relationship Id="rId3" Type="http://schemas.openxmlformats.org/officeDocument/2006/relationships/font" Target="fonts/InterTight-italic.ttf"/><Relationship Id="rId4" Type="http://schemas.openxmlformats.org/officeDocument/2006/relationships/font" Target="fonts/InterT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p/20RmDnU006sLxdXMot35J7PA==">CgMxLjAaJwoBMBIiCiAIBCocCgtBQUFDRUV5ZkxPbxAIGgtBQUFDRUV5ZkxPbyLrAgoLQUFBQ0VFeWZMT28SuQIKC0FBQUNFRXlmTE9vEgtBQUFDRUV5ZkxPbxowCgl0ZXh0L2h0bWwSI0FsdGVyYXIgcGFyYSBvIHTDrXR1bG8gZGEgYXRpdmlkYWRlIjEKCnRleHQvcGxhaW4SI0FsdGVyYXIgcGFyYSBvIHTDrXR1bG8gZGEgYXRpdmlkYWRlKhsiFTEwOTgyOTgwNTY3MDI2NDk5NDE2MigAOAAw0syv2/ozONLMr9v6M0o/Cgp0ZXh0L3BsYWluEjFEb2N1bWVudG8gUGFkcsOjbyBkZSBFbnRyZWdhIGRlIEF0aXZpZGFkZSBTZW1hbmFsWgx1bmVhZXI3N3h6YTFyAiAAeACaAQYIABAAGACqASUSI0FsdGVyYXIgcGFyYSBvIHTDrXR1bG8gZGEgYXRpdmlkYWRlsAEAuAEAyAEAGNLMr9v6MyDSzK/b+jMwAEIQa2l4LmMwaTBodnNoYjJ4NTIOaC50NWk5enI1bXAydXM4AHIhMUdoRUczaXhabTRyUE9ackZaN0NrUEphZFV3Z19RNGJ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