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42CB2" w14:textId="77777777" w:rsidR="003344A7" w:rsidRPr="003344A7" w:rsidRDefault="003344A7" w:rsidP="003344A7">
      <w:pPr>
        <w:pStyle w:val="Ttulo"/>
        <w:keepNext/>
        <w:spacing w:before="200" w:after="120"/>
      </w:pPr>
      <w:r w:rsidRPr="003344A7">
        <w:rPr>
          <w:rFonts w:ascii="Inter Tight" w:hAnsi="Inter Tight"/>
          <w:b/>
          <w:sz w:val="30"/>
        </w:rPr>
        <w:t>Entrega de Atividade Semanal - A10 Arquitetura e rastreabilidade</w:t>
      </w:r>
    </w:p>
    <w:p w14:paraId="414B977C" w14:textId="77777777" w:rsidR="003344A7" w:rsidRPr="003344A7" w:rsidRDefault="003344A7" w:rsidP="003344A7">
      <w:pPr>
        <w:pStyle w:val="Ttulo1"/>
        <w:keepNext/>
        <w:spacing w:before="200" w:after="120"/>
      </w:pPr>
      <w:r w:rsidRPr="003344A7">
        <w:rPr>
          <w:rFonts w:ascii="Inter Tight" w:hAnsi="Inter Tight"/>
          <w:b/>
          <w:color w:val="000000"/>
          <w:sz w:val="24"/>
        </w:rPr>
        <w:t>1. Identificação</w:t>
      </w:r>
    </w:p>
    <w:p w14:paraId="58B47E50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  <w:r w:rsidRPr="003344A7">
        <w:rPr>
          <w:rFonts w:ascii="Inter Tight" w:hAnsi="Inter Tight"/>
          <w:color w:val="000000"/>
          <w:sz w:val="22"/>
        </w:rPr>
        <w:t>Atividade (código e nome): A10 — Arquitetura e rastreabilidade — Entrega final</w:t>
      </w:r>
    </w:p>
    <w:p w14:paraId="0CE6CDE2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  <w:r w:rsidRPr="003344A7">
        <w:rPr>
          <w:rFonts w:ascii="Inter Tight" w:hAnsi="Inter Tight"/>
          <w:color w:val="000000"/>
          <w:sz w:val="22"/>
        </w:rPr>
        <w:t>Disciplina: Processos de Engenharia de Software</w:t>
      </w:r>
    </w:p>
    <w:p w14:paraId="6198F99A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  <w:r w:rsidRPr="003344A7">
        <w:rPr>
          <w:rFonts w:ascii="Inter Tight" w:hAnsi="Inter Tight"/>
          <w:color w:val="000000"/>
          <w:sz w:val="22"/>
        </w:rPr>
        <w:t>Etapa (AP1 / AP2 / AS): AP2</w:t>
      </w:r>
    </w:p>
    <w:p w14:paraId="29868EF2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  <w:r w:rsidRPr="003344A7">
        <w:rPr>
          <w:rFonts w:ascii="Inter Tight" w:hAnsi="Inter Tight"/>
          <w:color w:val="000000"/>
          <w:sz w:val="22"/>
        </w:rPr>
        <w:t>Equipe: TechFix</w:t>
      </w:r>
    </w:p>
    <w:p w14:paraId="18B48046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  <w:r w:rsidRPr="003344A7">
        <w:rPr>
          <w:rFonts w:ascii="Inter Tight" w:hAnsi="Inter Tight"/>
          <w:color w:val="000000"/>
          <w:sz w:val="22"/>
        </w:rPr>
        <w:t>Integrantes: Arthur Scharfenberger e Lucas Oliveira da Silva</w:t>
      </w:r>
    </w:p>
    <w:p w14:paraId="0ECBC53D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  <w:r w:rsidRPr="003344A7">
        <w:rPr>
          <w:rFonts w:ascii="Inter Tight" w:hAnsi="Inter Tight"/>
          <w:color w:val="000000"/>
          <w:sz w:val="22"/>
        </w:rPr>
        <w:t>Data de elaboração: 07/10/2026</w:t>
      </w:r>
    </w:p>
    <w:p w14:paraId="3856336F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  <w:r w:rsidRPr="003344A7">
        <w:rPr>
          <w:rFonts w:ascii="Inter Tight" w:hAnsi="Inter Tight"/>
          <w:color w:val="000000"/>
          <w:sz w:val="22"/>
        </w:rPr>
        <w:t>Prazo da atividade: início do Encontro 11, apresentação da AP2.</w:t>
      </w:r>
    </w:p>
    <w:p w14:paraId="3E1F3B1E" w14:textId="77777777" w:rsidR="003344A7" w:rsidRPr="003344A7" w:rsidRDefault="003344A7" w:rsidP="003344A7">
      <w:pPr>
        <w:pStyle w:val="Ttulo1"/>
        <w:keepNext/>
        <w:spacing w:before="200" w:after="120"/>
      </w:pPr>
      <w:r w:rsidRPr="003344A7">
        <w:rPr>
          <w:rFonts w:ascii="Inter Tight" w:hAnsi="Inter Tight"/>
          <w:b/>
          <w:color w:val="000000"/>
          <w:sz w:val="24"/>
        </w:rPr>
        <w:t>2. Conteúdo da atividade</w:t>
      </w:r>
    </w:p>
    <w:p w14:paraId="5AF12DFB" w14:textId="77777777" w:rsidR="003344A7" w:rsidRPr="003344A7" w:rsidRDefault="003344A7" w:rsidP="003344A7">
      <w:pPr>
        <w:pStyle w:val="Ttulo1"/>
        <w:keepNext/>
        <w:spacing w:before="200" w:after="120"/>
      </w:pPr>
      <w:r w:rsidRPr="003344A7">
        <w:rPr>
          <w:rFonts w:ascii="Inter Tight" w:hAnsi="Inter Tight"/>
          <w:b/>
          <w:color w:val="000000"/>
          <w:sz w:val="24"/>
        </w:rPr>
        <w:t>2.1 Objetivo e referências</w:t>
      </w:r>
    </w:p>
    <w:p w14:paraId="4BA8089F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  <w:r w:rsidRPr="003344A7">
        <w:rPr>
          <w:rFonts w:ascii="Inter Tight" w:hAnsi="Inter Tight"/>
          <w:color w:val="000000"/>
          <w:sz w:val="22"/>
        </w:rPr>
        <w:t>A arquitetura organiza o TechFix em quatro componentes e relaciona os oito requisitos da A5 ao backlog da A8, aos modelos e ao processo da A7. O objetivo é orientar a implementação dos incrementos I1 e I2 com autorização no servidor, integridade do histórico e validação pelo Product Owner.</w:t>
      </w:r>
    </w:p>
    <w:p w14:paraId="756FF391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  <w:r w:rsidRPr="003344A7">
        <w:rPr>
          <w:rFonts w:ascii="Inter Tight" w:hAnsi="Inter Tight"/>
          <w:color w:val="000000"/>
          <w:sz w:val="22"/>
        </w:rPr>
        <w:t>A A5 validada é a linha de base dos requisitos e prioridades. A4 registra os vínculos RE1–RE5 com a entrevista A3. A8-Entrega-Final-Revisada.md detalha os itens A8R01–A8R09. Os modelos consultados estão em Modelagem-Entrega-Final.md, seções 2.2 e 2.3. A7-Processo-Entrega-Final.md define processo, papéis, fluxo e Definition of Done. A A2 adota desenvolvimento incremental com práticas ágeis; a A6 de Arthur propõe revisão criteriosa antes de concluir. A revisão de coerência desta entrega considera A2 a A9.</w:t>
      </w:r>
    </w:p>
    <w:p w14:paraId="7585CD23" w14:textId="77777777" w:rsidR="003344A7" w:rsidRPr="003344A7" w:rsidRDefault="003344A7" w:rsidP="003344A7">
      <w:pPr>
        <w:pStyle w:val="Ttulo1"/>
        <w:keepNext/>
        <w:spacing w:before="200" w:after="120"/>
      </w:pPr>
      <w:r w:rsidRPr="003344A7">
        <w:rPr>
          <w:rFonts w:ascii="Inter Tight" w:hAnsi="Inter Tight"/>
          <w:b/>
          <w:color w:val="000000"/>
          <w:sz w:val="24"/>
        </w:rPr>
        <w:t>2.2 Componentes e comunicação</w:t>
      </w:r>
    </w:p>
    <w:p w14:paraId="24ED60D5" w14:textId="14C9EC60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  <w:r>
        <w:rPr>
          <w:rFonts w:ascii="Inter Tight" w:hAnsi="Inter Tight"/>
          <w:noProof/>
          <w:color w:val="000000"/>
          <w:sz w:val="22"/>
        </w:rPr>
        <w:drawing>
          <wp:inline distT="0" distB="0" distL="0" distR="0" wp14:anchorId="217DE2FD" wp14:editId="22650117">
            <wp:extent cx="5715000" cy="3333644"/>
            <wp:effectExtent l="0" t="0" r="0" b="635"/>
            <wp:docPr id="392211444" name="Gráfico 1" descr="Usuários acessam C1, que chama C2. C2 autoriza via C3 e persiste via C4. C3 consulta perfis em C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11444" name="Gráfico 1" descr="Usuários acessam C1, que chama C2. C2 autoriza via C3 e persiste via C4. C3 consulta perfis em C4.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3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8ED8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  <w:r w:rsidRPr="003344A7">
        <w:rPr>
          <w:rFonts w:ascii="Inter Tight" w:hAnsi="Inter Tight"/>
          <w:color w:val="000000"/>
          <w:sz w:val="22"/>
        </w:rPr>
        <w:t>Figura 1. C1 envia operações a C2; C2 consulta C3 antes de executar operações protegidas e utiliza C4 para persistência. C3 consulta usuários e perfis em C4. As setas representam solicitações; as respostas retornam ao solicitante. Diagrama vetorial editável, sem geração de imagem por IA.</w:t>
      </w:r>
    </w:p>
    <w:p w14:paraId="127B4E8E" w14:textId="13519455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400"/>
        <w:gridCol w:w="1900"/>
        <w:gridCol w:w="4720"/>
      </w:tblGrid>
      <w:tr w:rsidR="003344A7" w:rsidRPr="003344A7" w14:paraId="44A04F7F" w14:textId="77777777" w:rsidTr="003344A7">
        <w:trPr>
          <w:cantSplit/>
          <w:tblHeader/>
        </w:trPr>
        <w:tc>
          <w:tcPr>
            <w:tcW w:w="2400" w:type="dxa"/>
            <w:shd w:val="clear" w:color="auto" w:fill="E6E6E6"/>
            <w:vAlign w:val="center"/>
          </w:tcPr>
          <w:p w14:paraId="169535F7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3344A7">
              <w:rPr>
                <w:rFonts w:ascii="Inter Tight" w:hAnsi="Inter Tight"/>
                <w:b/>
                <w:color w:val="000000"/>
                <w:sz w:val="19"/>
              </w:rPr>
              <w:t>Componente</w:t>
            </w:r>
          </w:p>
        </w:tc>
        <w:tc>
          <w:tcPr>
            <w:tcW w:w="1900" w:type="dxa"/>
            <w:shd w:val="clear" w:color="auto" w:fill="E6E6E6"/>
            <w:vAlign w:val="center"/>
          </w:tcPr>
          <w:p w14:paraId="75440CCF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3344A7">
              <w:rPr>
                <w:rFonts w:ascii="Inter Tight" w:hAnsi="Inter Tight"/>
                <w:b/>
                <w:color w:val="000000"/>
                <w:sz w:val="19"/>
              </w:rPr>
              <w:t>Responsabilidade</w:t>
            </w:r>
          </w:p>
        </w:tc>
        <w:tc>
          <w:tcPr>
            <w:tcW w:w="4720" w:type="dxa"/>
            <w:shd w:val="clear" w:color="auto" w:fill="E6E6E6"/>
            <w:vAlign w:val="center"/>
          </w:tcPr>
          <w:p w14:paraId="4EAC575C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3344A7">
              <w:rPr>
                <w:rFonts w:ascii="Inter Tight" w:hAnsi="Inter Tight"/>
                <w:b/>
                <w:color w:val="000000"/>
                <w:sz w:val="19"/>
              </w:rPr>
              <w:t>Comunicação</w:t>
            </w:r>
          </w:p>
        </w:tc>
      </w:tr>
      <w:tr w:rsidR="003344A7" w:rsidRPr="003344A7" w14:paraId="46959744" w14:textId="77777777" w:rsidTr="003344A7">
        <w:trPr>
          <w:cantSplit/>
        </w:trPr>
        <w:tc>
          <w:tcPr>
            <w:tcW w:w="2400" w:type="dxa"/>
            <w:vAlign w:val="center"/>
          </w:tcPr>
          <w:p w14:paraId="55168444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C1 — Interface web</w:t>
            </w:r>
          </w:p>
        </w:tc>
        <w:tc>
          <w:tcPr>
            <w:tcW w:w="1900" w:type="dxa"/>
            <w:vAlign w:val="center"/>
          </w:tcPr>
          <w:p w14:paraId="5BDD0955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Cadastro, abertura, consulta e atualização de OS; validação visual, mensagens e confirmação.</w:t>
            </w:r>
          </w:p>
        </w:tc>
        <w:tc>
          <w:tcPr>
            <w:tcW w:w="4720" w:type="dxa"/>
            <w:vAlign w:val="center"/>
          </w:tcPr>
          <w:p w14:paraId="49BBD98B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API HTTP/JSON de C2; HTTPS na implantação.</w:t>
            </w:r>
          </w:p>
        </w:tc>
      </w:tr>
      <w:tr w:rsidR="003344A7" w:rsidRPr="003344A7" w14:paraId="711EC9EE" w14:textId="77777777" w:rsidTr="003344A7">
        <w:trPr>
          <w:cantSplit/>
        </w:trPr>
        <w:tc>
          <w:tcPr>
            <w:tcW w:w="2400" w:type="dxa"/>
            <w:vAlign w:val="center"/>
          </w:tcPr>
          <w:p w14:paraId="73D8E983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lastRenderedPageBreak/>
              <w:t>C2 — API e lógica de negócio</w:t>
            </w:r>
          </w:p>
        </w:tc>
        <w:tc>
          <w:tcPr>
            <w:tcW w:w="1900" w:type="dxa"/>
            <w:vAlign w:val="center"/>
          </w:tcPr>
          <w:p w14:paraId="63833050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Validar dados e vínculo cliente/equipamento; gerar número e data; controlar responsável, estados e histórico.</w:t>
            </w:r>
          </w:p>
        </w:tc>
        <w:tc>
          <w:tcPr>
            <w:tcW w:w="4720" w:type="dxa"/>
            <w:vAlign w:val="center"/>
          </w:tcPr>
          <w:p w14:paraId="3AE1524B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Solicita autorização a C3 e consultas/transações a C4.</w:t>
            </w:r>
          </w:p>
        </w:tc>
      </w:tr>
      <w:tr w:rsidR="003344A7" w:rsidRPr="003344A7" w14:paraId="12FC6088" w14:textId="77777777" w:rsidTr="003344A7">
        <w:trPr>
          <w:cantSplit/>
        </w:trPr>
        <w:tc>
          <w:tcPr>
            <w:tcW w:w="2400" w:type="dxa"/>
            <w:vAlign w:val="center"/>
          </w:tcPr>
          <w:p w14:paraId="4535A2A0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C3 — Autenticação e autorização</w:t>
            </w:r>
          </w:p>
        </w:tc>
        <w:tc>
          <w:tcPr>
            <w:tcW w:w="1900" w:type="dxa"/>
            <w:vAlign w:val="center"/>
          </w:tcPr>
          <w:p w14:paraId="35ACB502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Identificar o usuário e verificar perfil e permissão por operação conforme RNF2.</w:t>
            </w:r>
          </w:p>
        </w:tc>
        <w:tc>
          <w:tcPr>
            <w:tcW w:w="4720" w:type="dxa"/>
            <w:vAlign w:val="center"/>
          </w:tcPr>
          <w:p w14:paraId="3DA8E23F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Atua no servidor; consulta usuários/perfis em C4.</w:t>
            </w:r>
          </w:p>
        </w:tc>
      </w:tr>
      <w:tr w:rsidR="003344A7" w:rsidRPr="003344A7" w14:paraId="1DFD23C2" w14:textId="77777777" w:rsidTr="003344A7">
        <w:trPr>
          <w:cantSplit/>
        </w:trPr>
        <w:tc>
          <w:tcPr>
            <w:tcW w:w="2400" w:type="dxa"/>
            <w:vAlign w:val="center"/>
          </w:tcPr>
          <w:p w14:paraId="77100C7B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C4 — Persistência e banco de dados</w:t>
            </w:r>
          </w:p>
        </w:tc>
        <w:tc>
          <w:tcPr>
            <w:tcW w:w="1900" w:type="dxa"/>
            <w:vAlign w:val="center"/>
          </w:tcPr>
          <w:p w14:paraId="3DBBCB09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Armazenar clientes, equipamentos, OS, técnicos, usuários/perfis e eventos.</w:t>
            </w:r>
          </w:p>
        </w:tc>
        <w:tc>
          <w:tcPr>
            <w:tcW w:w="4720" w:type="dxa"/>
            <w:vAlign w:val="center"/>
          </w:tcPr>
          <w:p w14:paraId="6868F7F3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Responde às consultas de C2/C3; confirma ou desfaz transações.</w:t>
            </w:r>
          </w:p>
        </w:tc>
      </w:tr>
    </w:tbl>
    <w:p w14:paraId="22AF16B8" w14:textId="3BB445F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</w:p>
    <w:p w14:paraId="5FBD2274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</w:p>
    <w:p w14:paraId="4AA4D80E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  <w:r w:rsidRPr="003344A7">
        <w:rPr>
          <w:rFonts w:ascii="Inter Tight" w:hAnsi="Inter Tight"/>
          <w:color w:val="000000"/>
          <w:sz w:val="22"/>
        </w:rPr>
        <w:t>A interface não acessa diretamente o banco. Ocultar botões não substitui autorização: solicitações diretas à API também passam por C3. C2/C3/C4 podem integrar uma única aplicação no servidor; a divisão é de responsabilidades e não exige microsserviços. Framework e banco serão definidos no detalhamento técnico.</w:t>
      </w:r>
    </w:p>
    <w:p w14:paraId="06ED2760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  <w:r w:rsidRPr="003344A7">
        <w:rPr>
          <w:rFonts w:ascii="Inter Tight" w:hAnsi="Inter Tight"/>
          <w:color w:val="000000"/>
          <w:sz w:val="22"/>
        </w:rPr>
        <w:t>Não há integração externa necessária à linha de base. E-mail, WhatsApp, pagamentos, avaliação e relatório gerencial dependem de requisito aprovado para entrar no backlog.</w:t>
      </w:r>
    </w:p>
    <w:p w14:paraId="1A0B5629" w14:textId="77777777" w:rsidR="003344A7" w:rsidRPr="003344A7" w:rsidRDefault="003344A7" w:rsidP="003344A7">
      <w:pPr>
        <w:pStyle w:val="Ttulo1"/>
        <w:keepNext/>
        <w:spacing w:before="200" w:after="120"/>
      </w:pPr>
      <w:r w:rsidRPr="003344A7">
        <w:rPr>
          <w:rFonts w:ascii="Inter Tight" w:hAnsi="Inter Tight"/>
          <w:b/>
          <w:color w:val="000000"/>
          <w:sz w:val="24"/>
        </w:rPr>
        <w:t>2.3 Abertura e evolução da ordem de serviço</w:t>
      </w:r>
    </w:p>
    <w:p w14:paraId="3A8A339D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  <w:r w:rsidRPr="003344A7">
        <w:rPr>
          <w:rFonts w:ascii="Inter Tight" w:hAnsi="Inter Tight"/>
          <w:color w:val="000000"/>
          <w:sz w:val="22"/>
        </w:rPr>
        <w:t>1. O atendente seleciona ou cadastra cliente e equipamento em C1.</w:t>
      </w:r>
    </w:p>
    <w:p w14:paraId="666169FB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  <w:r w:rsidRPr="003344A7">
        <w:rPr>
          <w:rFonts w:ascii="Inter Tight" w:hAnsi="Inter Tight"/>
          <w:color w:val="000000"/>
          <w:sz w:val="22"/>
        </w:rPr>
        <w:t>2. C2 recebe a solicitação; C3 verifica identidade e permissão.</w:t>
      </w:r>
    </w:p>
    <w:p w14:paraId="39B104DF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  <w:r w:rsidRPr="003344A7">
        <w:rPr>
          <w:rFonts w:ascii="Inter Tight" w:hAnsi="Inter Tight"/>
          <w:color w:val="000000"/>
          <w:sz w:val="22"/>
        </w:rPr>
        <w:t>3. C2 valida nome, telefone, tipo, defeito e vínculo entre cliente e equipamento.</w:t>
      </w:r>
    </w:p>
    <w:p w14:paraId="4F078BC2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  <w:r w:rsidRPr="003344A7">
        <w:rPr>
          <w:rFonts w:ascii="Inter Tight" w:hAnsi="Inter Tight"/>
          <w:color w:val="000000"/>
          <w:sz w:val="22"/>
        </w:rPr>
        <w:t>4. C2 gera número único, data/hora e estado ABERTA. C4 grava OS e evento inicial de histórico na mesma transação.</w:t>
      </w:r>
    </w:p>
    <w:p w14:paraId="71AA066F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  <w:r w:rsidRPr="003344A7">
        <w:rPr>
          <w:rFonts w:ascii="Inter Tight" w:hAnsi="Inter Tight"/>
          <w:color w:val="000000"/>
          <w:sz w:val="22"/>
        </w:rPr>
        <w:t>5. C1 apresenta o protocolo somente após confirmação de gravação. Em falha, mantém os dados para nova tentativa; um reenvio deve reutilizar a identificação da operação, evitando duplicação.</w:t>
      </w:r>
    </w:p>
    <w:p w14:paraId="582A1DD8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  <w:r w:rsidRPr="003344A7">
        <w:rPr>
          <w:rFonts w:ascii="Inter Tight" w:hAnsi="Inter Tight"/>
          <w:color w:val="000000"/>
          <w:sz w:val="22"/>
        </w:rPr>
        <w:t>O técnico pode ser atribuído após a abertura. C2 exige responsável para iniciar o atendimento e controla ABERTA → EM ATENDIMENTO → CONCLUÍDA, rejeitando regressão da OS concluída. Alteração de estado/responsável e evento de histórico são gravados juntos, com usuário, data/hora e alteração.</w:t>
      </w:r>
    </w:p>
    <w:p w14:paraId="23E28A4A" w14:textId="77777777" w:rsidR="003344A7" w:rsidRPr="003344A7" w:rsidRDefault="003344A7" w:rsidP="003344A7">
      <w:pPr>
        <w:pStyle w:val="Ttulo1"/>
        <w:keepNext/>
        <w:spacing w:before="200" w:after="120"/>
      </w:pPr>
      <w:r w:rsidRPr="003344A7">
        <w:rPr>
          <w:rFonts w:ascii="Inter Tight" w:hAnsi="Inter Tight"/>
          <w:b/>
          <w:color w:val="000000"/>
          <w:sz w:val="24"/>
        </w:rPr>
        <w:t>2.4 Relação com Scrum e a A7</w:t>
      </w:r>
    </w:p>
    <w:p w14:paraId="61AFF12C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  <w:r w:rsidRPr="003344A7">
        <w:rPr>
          <w:rFonts w:ascii="Inter Tight" w:hAnsi="Inter Tight"/>
          <w:color w:val="000000"/>
          <w:sz w:val="22"/>
        </w:rPr>
        <w:t>A A7 define Scrum, papéis, fluxo de trabalho e Definition of Done em A7-Processo-Entrega-Final.md, seções 2.1 a 2.5. As ligações abaixo aplicam esse processo à arquitetura. Arthur acumula Scrum Master e desenvolvimento; Lucas atua no desenvolvimento; Chico Mosca é o PO. A distribuição técnica inicial é ajustada no planejamento de cada Sprint semanal.</w:t>
      </w:r>
    </w:p>
    <w:p w14:paraId="4326BECF" w14:textId="739FD76A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400"/>
        <w:gridCol w:w="1900"/>
        <w:gridCol w:w="4720"/>
      </w:tblGrid>
      <w:tr w:rsidR="003344A7" w:rsidRPr="003344A7" w14:paraId="6559C0CA" w14:textId="77777777" w:rsidTr="003344A7">
        <w:trPr>
          <w:cantSplit/>
          <w:tblHeader/>
        </w:trPr>
        <w:tc>
          <w:tcPr>
            <w:tcW w:w="2400" w:type="dxa"/>
            <w:shd w:val="clear" w:color="auto" w:fill="E6E6E6"/>
            <w:vAlign w:val="center"/>
          </w:tcPr>
          <w:p w14:paraId="061FA0D6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3344A7">
              <w:rPr>
                <w:rFonts w:ascii="Inter Tight" w:hAnsi="Inter Tight"/>
                <w:b/>
                <w:color w:val="000000"/>
                <w:sz w:val="19"/>
              </w:rPr>
              <w:lastRenderedPageBreak/>
              <w:t>Elemento da A7</w:t>
            </w:r>
          </w:p>
        </w:tc>
        <w:tc>
          <w:tcPr>
            <w:tcW w:w="1900" w:type="dxa"/>
            <w:shd w:val="clear" w:color="auto" w:fill="E6E6E6"/>
            <w:vAlign w:val="center"/>
          </w:tcPr>
          <w:p w14:paraId="0669D99C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3344A7">
              <w:rPr>
                <w:rFonts w:ascii="Inter Tight" w:hAnsi="Inter Tight"/>
                <w:b/>
                <w:color w:val="000000"/>
                <w:sz w:val="19"/>
              </w:rPr>
              <w:t>Aplicação na arquitetura e no backlog</w:t>
            </w:r>
          </w:p>
        </w:tc>
        <w:tc>
          <w:tcPr>
            <w:tcW w:w="4720" w:type="dxa"/>
            <w:shd w:val="clear" w:color="auto" w:fill="E6E6E6"/>
            <w:vAlign w:val="center"/>
          </w:tcPr>
          <w:p w14:paraId="25CDDB10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3344A7">
              <w:rPr>
                <w:rFonts w:ascii="Inter Tight" w:hAnsi="Inter Tight"/>
                <w:b/>
                <w:color w:val="000000"/>
                <w:sz w:val="19"/>
              </w:rPr>
              <w:t>Evidência esperada</w:t>
            </w:r>
          </w:p>
        </w:tc>
      </w:tr>
      <w:tr w:rsidR="003344A7" w:rsidRPr="003344A7" w14:paraId="06EF92DA" w14:textId="77777777" w:rsidTr="003344A7">
        <w:trPr>
          <w:cantSplit/>
        </w:trPr>
        <w:tc>
          <w:tcPr>
            <w:tcW w:w="2400" w:type="dxa"/>
            <w:vAlign w:val="center"/>
          </w:tcPr>
          <w:p w14:paraId="3F45E644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Planejamento e trabalho da dupla</w:t>
            </w:r>
          </w:p>
        </w:tc>
        <w:tc>
          <w:tcPr>
            <w:tcW w:w="1900" w:type="dxa"/>
            <w:vAlign w:val="center"/>
          </w:tcPr>
          <w:p w14:paraId="779F9338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Arthur pode implementar C1 e Lucas C2/C4; C3 exige acordo sobre permissões e revisão de ambos. Definir contratos de requisição, resposta e erro antes da implementação permite trabalhar em componentes diferentes.</w:t>
            </w:r>
          </w:p>
        </w:tc>
        <w:tc>
          <w:tcPr>
            <w:tcW w:w="4720" w:type="dxa"/>
            <w:vAlign w:val="center"/>
          </w:tcPr>
          <w:p w14:paraId="3FDFC75A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Itens A8R selecionados e contrato de API registrado no planejamento.</w:t>
            </w:r>
          </w:p>
        </w:tc>
      </w:tr>
      <w:tr w:rsidR="003344A7" w:rsidRPr="003344A7" w14:paraId="6E706A38" w14:textId="77777777" w:rsidTr="003344A7">
        <w:trPr>
          <w:cantSplit/>
        </w:trPr>
        <w:tc>
          <w:tcPr>
            <w:tcW w:w="2400" w:type="dxa"/>
            <w:vAlign w:val="center"/>
          </w:tcPr>
          <w:p w14:paraId="2FE16FCA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Definition of Done: revisão por outro integrante</w:t>
            </w:r>
          </w:p>
        </w:tc>
        <w:tc>
          <w:tcPr>
            <w:tcW w:w="1900" w:type="dxa"/>
            <w:vAlign w:val="center"/>
          </w:tcPr>
          <w:p w14:paraId="768A73DE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Conforme A7 2.5, quem implementa solicita revisão ao colega. Verificar vínculo A5/A8R, validações, autorização, transações, testes e documentação.</w:t>
            </w:r>
          </w:p>
        </w:tc>
        <w:tc>
          <w:tcPr>
            <w:tcW w:w="4720" w:type="dxa"/>
            <w:vAlign w:val="center"/>
          </w:tcPr>
          <w:p w14:paraId="388C0389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Registro do revisor, correções resolvidas e evidências dos critérios.</w:t>
            </w:r>
          </w:p>
        </w:tc>
      </w:tr>
      <w:tr w:rsidR="003344A7" w:rsidRPr="003344A7" w14:paraId="7018D6FD" w14:textId="77777777" w:rsidTr="003344A7">
        <w:trPr>
          <w:cantSplit/>
        </w:trPr>
        <w:tc>
          <w:tcPr>
            <w:tcW w:w="2400" w:type="dxa"/>
            <w:vAlign w:val="center"/>
          </w:tcPr>
          <w:p w14:paraId="69A7E32C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Integração dos componentes</w:t>
            </w:r>
          </w:p>
        </w:tc>
        <w:tc>
          <w:tcPr>
            <w:tcW w:w="1900" w:type="dxa"/>
            <w:vAlign w:val="center"/>
          </w:tcPr>
          <w:p w14:paraId="68C30080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A divisão não dispensa demonstrar o fluxo C1 → C2 → C3/C4. O incremento precisa funcionar para o usuário.</w:t>
            </w:r>
          </w:p>
        </w:tc>
        <w:tc>
          <w:tcPr>
            <w:tcW w:w="4720" w:type="dxa"/>
            <w:vAlign w:val="center"/>
          </w:tcPr>
          <w:p w14:paraId="1BF70F76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Demonstração integrada e evidências dos critérios de aceitação do incremento.</w:t>
            </w:r>
          </w:p>
        </w:tc>
      </w:tr>
      <w:tr w:rsidR="003344A7" w:rsidRPr="003344A7" w14:paraId="4B4365A9" w14:textId="77777777" w:rsidTr="003344A7">
        <w:trPr>
          <w:cantSplit/>
        </w:trPr>
        <w:tc>
          <w:tcPr>
            <w:tcW w:w="2400" w:type="dxa"/>
            <w:vAlign w:val="center"/>
          </w:tcPr>
          <w:p w14:paraId="03FC9FCD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Validação do PO</w:t>
            </w:r>
          </w:p>
        </w:tc>
        <w:tc>
          <w:tcPr>
            <w:tcW w:w="1900" w:type="dxa"/>
            <w:vAlign w:val="center"/>
          </w:tcPr>
          <w:p w14:paraId="0D8B2091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Conforme A7 2.4, Chico Mosca inspeciona a saída de C1: campos, erros, protocolo, estado e histórico. A decisão de negócio é registrada separadamente da conclusão técnica.</w:t>
            </w:r>
          </w:p>
        </w:tc>
        <w:tc>
          <w:tcPr>
            <w:tcW w:w="4720" w:type="dxa"/>
            <w:vAlign w:val="center"/>
          </w:tcPr>
          <w:p w14:paraId="2D6D0AC8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Cenário, resultado observado e aceite ou ajustes; ausência de PO não equivale a aceite.</w:t>
            </w:r>
          </w:p>
        </w:tc>
      </w:tr>
    </w:tbl>
    <w:p w14:paraId="7BC71959" w14:textId="5617E13D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</w:p>
    <w:p w14:paraId="2E6F8458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</w:p>
    <w:p w14:paraId="5F9D4496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  <w:r w:rsidRPr="003344A7">
        <w:rPr>
          <w:rFonts w:ascii="Inter Tight" w:hAnsi="Inter Tight"/>
          <w:color w:val="000000"/>
          <w:sz w:val="22"/>
        </w:rPr>
        <w:t>No I1, a validação do PO cobre cadastro, abertura ABERTA, recuperação pelo número e histórico inicial. No I2, cobre acompanhamento pelo técnico, conclusão, buscas por cliente/equipamento e consulta da evolução. Os testes da equipe comprovam autorização, transações e desempenho; a validação do PO verifica se os resultados apresentados atendem ao trabalho da assistência.</w:t>
      </w:r>
    </w:p>
    <w:p w14:paraId="4FB7B599" w14:textId="77777777" w:rsidR="003344A7" w:rsidRPr="003344A7" w:rsidRDefault="003344A7" w:rsidP="003344A7">
      <w:pPr>
        <w:pStyle w:val="Ttulo1"/>
        <w:keepNext/>
        <w:spacing w:before="200" w:after="120"/>
      </w:pPr>
      <w:r w:rsidRPr="003344A7">
        <w:rPr>
          <w:rFonts w:ascii="Inter Tight" w:hAnsi="Inter Tight"/>
          <w:b/>
          <w:color w:val="000000"/>
          <w:sz w:val="24"/>
        </w:rPr>
        <w:t>2.5 Matriz de rastreabilidade</w:t>
      </w:r>
    </w:p>
    <w:p w14:paraId="2FB1AAF7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  <w:r w:rsidRPr="003344A7">
        <w:rPr>
          <w:rFonts w:ascii="Inter Tight" w:hAnsi="Inter Tight"/>
          <w:color w:val="000000"/>
          <w:sz w:val="22"/>
        </w:rPr>
        <w:t>A origem documental é Atividade_03_Levantamento_Requisitos_TechFix.pdf: entrevista semiestruturada simulada com Marcos Almeida, atendente, resumida na seção 3 (páginas 1–2). A seção 4 enumera os requisitos extraídos; esses IDs são usados abaixo, sem inventar respostas R01/R02. O arquivo contém resumo narrativo, não transcrição de perguntas e respostas. Os códigos RE são referências intermediárias da A4; a numeração da A3 não é igual à da A4/A5. Chico Mosca é o PO indicado no planejamento A7, não o entrevistado simulado da A3.</w:t>
      </w:r>
    </w:p>
    <w:p w14:paraId="532BB6F2" w14:textId="06B8BCF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</w:p>
    <w:tbl>
      <w:tblPr>
        <w:tblW w:w="90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500"/>
        <w:gridCol w:w="1940"/>
        <w:gridCol w:w="1300"/>
        <w:gridCol w:w="2520"/>
        <w:gridCol w:w="1760"/>
      </w:tblGrid>
      <w:tr w:rsidR="003344A7" w:rsidRPr="003344A7" w14:paraId="657945F7" w14:textId="77777777" w:rsidTr="003344A7">
        <w:trPr>
          <w:cantSplit/>
          <w:tblHeader/>
        </w:trPr>
        <w:tc>
          <w:tcPr>
            <w:tcW w:w="1500" w:type="dxa"/>
            <w:shd w:val="clear" w:color="auto" w:fill="E6E6E6"/>
            <w:vAlign w:val="center"/>
          </w:tcPr>
          <w:p w14:paraId="0D4FD6BC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3344A7">
              <w:rPr>
                <w:rFonts w:ascii="Inter Tight" w:hAnsi="Inter Tight"/>
                <w:b/>
                <w:color w:val="000000"/>
                <w:sz w:val="19"/>
              </w:rPr>
              <w:t>Requisito da A5</w:t>
            </w:r>
          </w:p>
        </w:tc>
        <w:tc>
          <w:tcPr>
            <w:tcW w:w="1940" w:type="dxa"/>
            <w:shd w:val="clear" w:color="auto" w:fill="E6E6E6"/>
            <w:vAlign w:val="center"/>
          </w:tcPr>
          <w:p w14:paraId="4AEDAA49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3344A7">
              <w:rPr>
                <w:rFonts w:ascii="Inter Tight" w:hAnsi="Inter Tight"/>
                <w:b/>
                <w:color w:val="000000"/>
                <w:sz w:val="19"/>
              </w:rPr>
              <w:t>Origem A3 e referência intermediária</w:t>
            </w:r>
          </w:p>
        </w:tc>
        <w:tc>
          <w:tcPr>
            <w:tcW w:w="1300" w:type="dxa"/>
            <w:shd w:val="clear" w:color="auto" w:fill="E6E6E6"/>
            <w:vAlign w:val="center"/>
          </w:tcPr>
          <w:p w14:paraId="1AAA9102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3344A7">
              <w:rPr>
                <w:rFonts w:ascii="Inter Tight" w:hAnsi="Inter Tight"/>
                <w:b/>
                <w:color w:val="000000"/>
                <w:sz w:val="19"/>
              </w:rPr>
              <w:t>Backlog e incremento</w:t>
            </w:r>
          </w:p>
        </w:tc>
        <w:tc>
          <w:tcPr>
            <w:tcW w:w="2520" w:type="dxa"/>
            <w:shd w:val="clear" w:color="auto" w:fill="E6E6E6"/>
            <w:vAlign w:val="center"/>
          </w:tcPr>
          <w:p w14:paraId="1C89AF14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3344A7">
              <w:rPr>
                <w:rFonts w:ascii="Inter Tight" w:hAnsi="Inter Tight"/>
                <w:b/>
                <w:color w:val="000000"/>
                <w:sz w:val="19"/>
              </w:rPr>
              <w:t>Modelo ou decisão arquitetural</w:t>
            </w:r>
          </w:p>
        </w:tc>
        <w:tc>
          <w:tcPr>
            <w:tcW w:w="1760" w:type="dxa"/>
            <w:shd w:val="clear" w:color="auto" w:fill="E6E6E6"/>
            <w:vAlign w:val="center"/>
          </w:tcPr>
          <w:p w14:paraId="690E5254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3344A7">
              <w:rPr>
                <w:rFonts w:ascii="Inter Tight" w:hAnsi="Inter Tight"/>
                <w:b/>
                <w:color w:val="000000"/>
                <w:sz w:val="19"/>
              </w:rPr>
              <w:t>Componentes</w:t>
            </w:r>
          </w:p>
        </w:tc>
      </w:tr>
      <w:tr w:rsidR="003344A7" w:rsidRPr="003344A7" w14:paraId="6EEB0312" w14:textId="77777777" w:rsidTr="003344A7">
        <w:trPr>
          <w:cantSplit/>
        </w:trPr>
        <w:tc>
          <w:tcPr>
            <w:tcW w:w="1500" w:type="dxa"/>
            <w:vAlign w:val="center"/>
          </w:tcPr>
          <w:p w14:paraId="787E12AF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RF1 — Cadastro; HU1</w:t>
            </w:r>
          </w:p>
        </w:tc>
        <w:tc>
          <w:tcPr>
            <w:tcW w:w="1940" w:type="dxa"/>
            <w:vAlign w:val="center"/>
          </w:tcPr>
          <w:p w14:paraId="179FAA61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A3 §4.1, p. 2, RF01/RF02; §4.3, p. 3, RF14. A4 RE1: cliente/equipamento.</w:t>
            </w:r>
          </w:p>
        </w:tc>
        <w:tc>
          <w:tcPr>
            <w:tcW w:w="1300" w:type="dxa"/>
            <w:vAlign w:val="center"/>
          </w:tcPr>
          <w:p w14:paraId="635806CE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A8R02; I1</w:t>
            </w:r>
          </w:p>
        </w:tc>
        <w:tc>
          <w:tcPr>
            <w:tcW w:w="2520" w:type="dxa"/>
            <w:vAlign w:val="center"/>
          </w:tcPr>
          <w:p w14:paraId="4309F62F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Modelo final 2.2/2.3: seleção, cadastro rápido e campos obrigatórios.</w:t>
            </w:r>
          </w:p>
        </w:tc>
        <w:tc>
          <w:tcPr>
            <w:tcW w:w="1760" w:type="dxa"/>
            <w:vAlign w:val="center"/>
          </w:tcPr>
          <w:p w14:paraId="703651BF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C1 recebe; C2 valida vínculo e campos; C4 grava.</w:t>
            </w:r>
          </w:p>
        </w:tc>
      </w:tr>
      <w:tr w:rsidR="003344A7" w:rsidRPr="003344A7" w14:paraId="50CD56B1" w14:textId="77777777" w:rsidTr="003344A7">
        <w:trPr>
          <w:cantSplit/>
        </w:trPr>
        <w:tc>
          <w:tcPr>
            <w:tcW w:w="1500" w:type="dxa"/>
            <w:vAlign w:val="center"/>
          </w:tcPr>
          <w:p w14:paraId="48E1BEF4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RF2 — Criar e acompanhar OS; HU1/HU2</w:t>
            </w:r>
          </w:p>
        </w:tc>
        <w:tc>
          <w:tcPr>
            <w:tcW w:w="1940" w:type="dxa"/>
            <w:vAlign w:val="center"/>
          </w:tcPr>
          <w:p w14:paraId="17676265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A3 §3 e §4.1, p. 2, RF03–RF05. A4 RE2: OS, estado e técnico.</w:t>
            </w:r>
          </w:p>
        </w:tc>
        <w:tc>
          <w:tcPr>
            <w:tcW w:w="1300" w:type="dxa"/>
            <w:vAlign w:val="center"/>
          </w:tcPr>
          <w:p w14:paraId="743688AA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A8R03; I1. A8R06/A8R07; I2</w:t>
            </w:r>
          </w:p>
        </w:tc>
        <w:tc>
          <w:tcPr>
            <w:tcW w:w="2520" w:type="dxa"/>
            <w:vAlign w:val="center"/>
          </w:tcPr>
          <w:p w14:paraId="6B25E900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Modelo final 2.2/2.3: abertura. A10 2.3: responsável e evolução.</w:t>
            </w:r>
          </w:p>
        </w:tc>
        <w:tc>
          <w:tcPr>
            <w:tcW w:w="1760" w:type="dxa"/>
            <w:vAlign w:val="center"/>
          </w:tcPr>
          <w:p w14:paraId="28689FF6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C1 recebe ações; C2 controla ciclo; C4 grava OS/eventos.</w:t>
            </w:r>
          </w:p>
        </w:tc>
      </w:tr>
      <w:tr w:rsidR="003344A7" w:rsidRPr="003344A7" w14:paraId="5F0AAAB2" w14:textId="77777777" w:rsidTr="003344A7">
        <w:trPr>
          <w:cantSplit/>
        </w:trPr>
        <w:tc>
          <w:tcPr>
            <w:tcW w:w="1500" w:type="dxa"/>
            <w:vAlign w:val="center"/>
          </w:tcPr>
          <w:p w14:paraId="70839239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RF3 — Pesquisa e histórico; HU1/HU2</w:t>
            </w:r>
          </w:p>
        </w:tc>
        <w:tc>
          <w:tcPr>
            <w:tcW w:w="1940" w:type="dxa"/>
            <w:vAlign w:val="center"/>
          </w:tcPr>
          <w:p w14:paraId="028D9151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A3 §4.1, p. 2, RF06/RF07. A4 RE3: pesquisa e histórico.</w:t>
            </w:r>
          </w:p>
        </w:tc>
        <w:tc>
          <w:tcPr>
            <w:tcW w:w="1300" w:type="dxa"/>
            <w:vAlign w:val="center"/>
          </w:tcPr>
          <w:p w14:paraId="0C0C869A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A8R04/A8R05; I1. A8R05/A8R08; I2</w:t>
            </w:r>
          </w:p>
        </w:tc>
        <w:tc>
          <w:tcPr>
            <w:tcW w:w="2520" w:type="dxa"/>
            <w:vAlign w:val="center"/>
          </w:tcPr>
          <w:p w14:paraId="579481EF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Modelo final 2.2: evento inicial. A10 2.6: busca exata/parcial, filtro e eventos cronológicos.</w:t>
            </w:r>
          </w:p>
        </w:tc>
        <w:tc>
          <w:tcPr>
            <w:tcW w:w="1760" w:type="dxa"/>
            <w:vAlign w:val="center"/>
          </w:tcPr>
          <w:p w14:paraId="7749A34D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C1 apresenta; C2 consulta/ordena; C4 armazena.</w:t>
            </w:r>
          </w:p>
        </w:tc>
      </w:tr>
      <w:tr w:rsidR="003344A7" w:rsidRPr="003344A7" w14:paraId="754A8A35" w14:textId="77777777" w:rsidTr="003344A7">
        <w:trPr>
          <w:cantSplit/>
        </w:trPr>
        <w:tc>
          <w:tcPr>
            <w:tcW w:w="1500" w:type="dxa"/>
            <w:vAlign w:val="center"/>
          </w:tcPr>
          <w:p w14:paraId="374353E5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RN1 — Ciclo de estados; HU1/HU2</w:t>
            </w:r>
          </w:p>
        </w:tc>
        <w:tc>
          <w:tcPr>
            <w:tcW w:w="1940" w:type="dxa"/>
            <w:vAlign w:val="center"/>
          </w:tcPr>
          <w:p w14:paraId="2CF63AE1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A3 §4.1, p. 2, RF04. A4 RE2/RN1: estados; proibição de regressão refinada na A5.</w:t>
            </w:r>
          </w:p>
        </w:tc>
        <w:tc>
          <w:tcPr>
            <w:tcW w:w="1300" w:type="dxa"/>
            <w:vAlign w:val="center"/>
          </w:tcPr>
          <w:p w14:paraId="7D3D9689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A8R03; I1. A8R06/A8R07; I2</w:t>
            </w:r>
          </w:p>
        </w:tc>
        <w:tc>
          <w:tcPr>
            <w:tcW w:w="2520" w:type="dxa"/>
            <w:vAlign w:val="center"/>
          </w:tcPr>
          <w:p w14:paraId="3EC50CF1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Modelo final 2.2: ABERTA. A10 2.3: transições e proibição de regressão.</w:t>
            </w:r>
          </w:p>
        </w:tc>
        <w:tc>
          <w:tcPr>
            <w:tcW w:w="1760" w:type="dxa"/>
            <w:vAlign w:val="center"/>
          </w:tcPr>
          <w:p w14:paraId="288E471A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C2 aplica a regra; C4 persiste estado/evento; C1 informa.</w:t>
            </w:r>
          </w:p>
        </w:tc>
      </w:tr>
      <w:tr w:rsidR="003344A7" w:rsidRPr="003344A7" w14:paraId="3FEEF097" w14:textId="77777777" w:rsidTr="003344A7">
        <w:trPr>
          <w:cantSplit/>
        </w:trPr>
        <w:tc>
          <w:tcPr>
            <w:tcW w:w="1500" w:type="dxa"/>
            <w:vAlign w:val="center"/>
          </w:tcPr>
          <w:p w14:paraId="47A50452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RNF1 — Desempenho; transversal a HU1/HU2</w:t>
            </w:r>
          </w:p>
        </w:tc>
        <w:tc>
          <w:tcPr>
            <w:tcW w:w="1940" w:type="dxa"/>
            <w:vAlign w:val="center"/>
          </w:tcPr>
          <w:p w14:paraId="20A39B60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A3 §4.2, p. 2–3, RNF01–RNF03. A4 RE5: simplicidade/agilidade. Limites numéricos definidos na A5.</w:t>
            </w:r>
          </w:p>
        </w:tc>
        <w:tc>
          <w:tcPr>
            <w:tcW w:w="1300" w:type="dxa"/>
            <w:vAlign w:val="center"/>
          </w:tcPr>
          <w:p w14:paraId="3F8C86B2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A8R09; I2</w:t>
            </w:r>
          </w:p>
        </w:tc>
        <w:tc>
          <w:tcPr>
            <w:tcW w:w="2520" w:type="dxa"/>
            <w:vAlign w:val="center"/>
          </w:tcPr>
          <w:p w14:paraId="0D1825D2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A8 2.4 e A10 2.6: até 10.000 OS, com 95% das operações em até 2 s.</w:t>
            </w:r>
          </w:p>
        </w:tc>
        <w:tc>
          <w:tcPr>
            <w:tcW w:w="1760" w:type="dxa"/>
            <w:vAlign w:val="center"/>
          </w:tcPr>
          <w:p w14:paraId="726FA3E1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C1 delimita tempo percebido; C2/C4 processam e permitem medição.</w:t>
            </w:r>
          </w:p>
        </w:tc>
      </w:tr>
      <w:tr w:rsidR="003344A7" w:rsidRPr="003344A7" w14:paraId="17AFF42A" w14:textId="77777777" w:rsidTr="003344A7">
        <w:trPr>
          <w:cantSplit/>
        </w:trPr>
        <w:tc>
          <w:tcPr>
            <w:tcW w:w="1500" w:type="dxa"/>
            <w:vAlign w:val="center"/>
          </w:tcPr>
          <w:p w14:paraId="4C90A274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RNF2 — Acesso por perfil; transversal a HU1/HU2</w:t>
            </w:r>
          </w:p>
        </w:tc>
        <w:tc>
          <w:tcPr>
            <w:tcW w:w="1940" w:type="dxa"/>
            <w:vAlign w:val="center"/>
          </w:tcPr>
          <w:p w14:paraId="63B50E8F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A3 §4.1, p. 2, RF12; §4.3, p. 3, RNF04/RNF05. A4 RE4: acesso por perfil.</w:t>
            </w:r>
          </w:p>
        </w:tc>
        <w:tc>
          <w:tcPr>
            <w:tcW w:w="1300" w:type="dxa"/>
            <w:vAlign w:val="center"/>
          </w:tcPr>
          <w:p w14:paraId="33FC7CA9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A8R01; I1 e aplicação transversal no I2</w:t>
            </w:r>
          </w:p>
        </w:tc>
        <w:tc>
          <w:tcPr>
            <w:tcW w:w="2520" w:type="dxa"/>
            <w:vAlign w:val="center"/>
          </w:tcPr>
          <w:p w14:paraId="78472AC5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Modelo final 2.2: decisão de autorização. A10 2.2: controle no servidor.</w:t>
            </w:r>
          </w:p>
        </w:tc>
        <w:tc>
          <w:tcPr>
            <w:tcW w:w="1760" w:type="dxa"/>
            <w:vAlign w:val="center"/>
          </w:tcPr>
          <w:p w14:paraId="5D40BD6D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C3 verifica; C2 aplica antes da operação; C4 mantém perfis.</w:t>
            </w:r>
          </w:p>
        </w:tc>
      </w:tr>
      <w:tr w:rsidR="003344A7" w:rsidRPr="003344A7" w14:paraId="7207E454" w14:textId="77777777" w:rsidTr="003344A7">
        <w:trPr>
          <w:cantSplit/>
        </w:trPr>
        <w:tc>
          <w:tcPr>
            <w:tcW w:w="1500" w:type="dxa"/>
            <w:vAlign w:val="center"/>
          </w:tcPr>
          <w:p w14:paraId="5436A282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HU1 — Atendente cadastra e localiza OS</w:t>
            </w:r>
          </w:p>
        </w:tc>
        <w:tc>
          <w:tcPr>
            <w:tcW w:w="1940" w:type="dxa"/>
            <w:vAlign w:val="center"/>
          </w:tcPr>
          <w:p w14:paraId="4F05385B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A3 §3 e §4.1, p. 2, RF01–RF03/RF06/RF07. A4 RE1/RE3: atendente registra e localiza.</w:t>
            </w:r>
          </w:p>
        </w:tc>
        <w:tc>
          <w:tcPr>
            <w:tcW w:w="1300" w:type="dxa"/>
            <w:vAlign w:val="center"/>
          </w:tcPr>
          <w:p w14:paraId="164FE0D0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A8R02–A8R05; I1. A8R08; I2</w:t>
            </w:r>
          </w:p>
        </w:tc>
        <w:tc>
          <w:tcPr>
            <w:tcW w:w="2520" w:type="dxa"/>
            <w:vAlign w:val="center"/>
          </w:tcPr>
          <w:p w14:paraId="117058AB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Modelo final 2.2/2.3: recepção e abertura. A10 2.6: consulta e histórico.</w:t>
            </w:r>
          </w:p>
        </w:tc>
        <w:tc>
          <w:tcPr>
            <w:tcW w:w="1760" w:type="dxa"/>
            <w:vAlign w:val="center"/>
          </w:tcPr>
          <w:p w14:paraId="1E064814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C1 apoia o atendente; C2/C4 realizam o fluxo; C3 autoriza.</w:t>
            </w:r>
          </w:p>
        </w:tc>
      </w:tr>
      <w:tr w:rsidR="003344A7" w:rsidRPr="003344A7" w14:paraId="54A9874F" w14:textId="77777777" w:rsidTr="003344A7">
        <w:trPr>
          <w:cantSplit/>
        </w:trPr>
        <w:tc>
          <w:tcPr>
            <w:tcW w:w="1500" w:type="dxa"/>
            <w:vAlign w:val="center"/>
          </w:tcPr>
          <w:p w14:paraId="33CF6C25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HU2 — Técnico acompanha e atualiza suas OS</w:t>
            </w:r>
          </w:p>
        </w:tc>
        <w:tc>
          <w:tcPr>
            <w:tcW w:w="1940" w:type="dxa"/>
            <w:vAlign w:val="center"/>
          </w:tcPr>
          <w:p w14:paraId="37748436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A3 §4.1, p. 2, RF04/RF05/RF12. A4 RE2/HU2: acompanhamento pelo técnico.</w:t>
            </w:r>
          </w:p>
        </w:tc>
        <w:tc>
          <w:tcPr>
            <w:tcW w:w="1300" w:type="dxa"/>
            <w:vAlign w:val="center"/>
          </w:tcPr>
          <w:p w14:paraId="0C00CB03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A8R05; base no I1. A8R05–A8R07; I2</w:t>
            </w:r>
          </w:p>
        </w:tc>
        <w:tc>
          <w:tcPr>
            <w:tcW w:w="2520" w:type="dxa"/>
            <w:vAlign w:val="center"/>
          </w:tcPr>
          <w:p w14:paraId="1578D8D5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A10 2.3/2.6: lista atribuída, início e conclusão; modelo específico de tela a detalhar.</w:t>
            </w:r>
          </w:p>
        </w:tc>
        <w:tc>
          <w:tcPr>
            <w:tcW w:w="1760" w:type="dxa"/>
            <w:vAlign w:val="center"/>
          </w:tcPr>
          <w:p w14:paraId="58231355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C1 apoia o técnico; C2 filtra/controla; C3 autoriza; C4 registra.</w:t>
            </w:r>
          </w:p>
        </w:tc>
      </w:tr>
    </w:tbl>
    <w:p w14:paraId="7F6B1B94" w14:textId="78360C58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</w:p>
    <w:p w14:paraId="72E52575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</w:p>
    <w:p w14:paraId="76B3B43A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  <w:r w:rsidRPr="003344A7">
        <w:rPr>
          <w:rFonts w:ascii="Inter Tight" w:hAnsi="Inter Tight"/>
          <w:color w:val="000000"/>
          <w:sz w:val="22"/>
        </w:rPr>
        <w:t>Os modelos atuais detalham cadastro e abertura. A matriz distingue essa cobertura das decisões arquiteturais para consulta e atualização; não atribui aos wireframes telas que eles não contêm.</w:t>
      </w:r>
    </w:p>
    <w:p w14:paraId="2487655C" w14:textId="77777777" w:rsidR="003344A7" w:rsidRPr="003344A7" w:rsidRDefault="003344A7" w:rsidP="003344A7">
      <w:pPr>
        <w:pStyle w:val="Ttulo1"/>
        <w:keepNext/>
        <w:spacing w:before="200" w:after="120"/>
      </w:pPr>
      <w:r w:rsidRPr="003344A7">
        <w:rPr>
          <w:rFonts w:ascii="Inter Tight" w:hAnsi="Inter Tight"/>
          <w:b/>
          <w:color w:val="000000"/>
          <w:sz w:val="24"/>
        </w:rPr>
        <w:t>2.6 Verificação derivada da arquitetura</w:t>
      </w:r>
    </w:p>
    <w:p w14:paraId="65E9AA9D" w14:textId="47D51358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400"/>
        <w:gridCol w:w="1900"/>
        <w:gridCol w:w="4720"/>
      </w:tblGrid>
      <w:tr w:rsidR="003344A7" w:rsidRPr="003344A7" w14:paraId="59D55806" w14:textId="77777777" w:rsidTr="003344A7">
        <w:trPr>
          <w:cantSplit/>
          <w:tblHeader/>
        </w:trPr>
        <w:tc>
          <w:tcPr>
            <w:tcW w:w="2400" w:type="dxa"/>
            <w:shd w:val="clear" w:color="auto" w:fill="E6E6E6"/>
            <w:vAlign w:val="center"/>
          </w:tcPr>
          <w:p w14:paraId="5178EF58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3344A7">
              <w:rPr>
                <w:rFonts w:ascii="Inter Tight" w:hAnsi="Inter Tight"/>
                <w:b/>
                <w:color w:val="000000"/>
                <w:sz w:val="19"/>
              </w:rPr>
              <w:t>Cenário</w:t>
            </w:r>
          </w:p>
        </w:tc>
        <w:tc>
          <w:tcPr>
            <w:tcW w:w="1900" w:type="dxa"/>
            <w:shd w:val="clear" w:color="auto" w:fill="E6E6E6"/>
            <w:vAlign w:val="center"/>
          </w:tcPr>
          <w:p w14:paraId="2782D637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3344A7">
              <w:rPr>
                <w:rFonts w:ascii="Inter Tight" w:hAnsi="Inter Tight"/>
                <w:b/>
                <w:color w:val="000000"/>
                <w:sz w:val="19"/>
              </w:rPr>
              <w:t>Resultado esperado</w:t>
            </w:r>
          </w:p>
        </w:tc>
        <w:tc>
          <w:tcPr>
            <w:tcW w:w="4720" w:type="dxa"/>
            <w:shd w:val="clear" w:color="auto" w:fill="E6E6E6"/>
            <w:vAlign w:val="center"/>
          </w:tcPr>
          <w:p w14:paraId="6160CE40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3344A7">
              <w:rPr>
                <w:rFonts w:ascii="Inter Tight" w:hAnsi="Inter Tight"/>
                <w:b/>
                <w:color w:val="000000"/>
                <w:sz w:val="19"/>
              </w:rPr>
              <w:t>Requisitos e componentes</w:t>
            </w:r>
          </w:p>
        </w:tc>
      </w:tr>
      <w:tr w:rsidR="003344A7" w:rsidRPr="003344A7" w14:paraId="376BBADE" w14:textId="77777777" w:rsidTr="003344A7">
        <w:trPr>
          <w:cantSplit/>
        </w:trPr>
        <w:tc>
          <w:tcPr>
            <w:tcW w:w="2400" w:type="dxa"/>
            <w:vAlign w:val="center"/>
          </w:tcPr>
          <w:p w14:paraId="689EB1CC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Cadastro incompleto ou equipamento de outro cliente</w:t>
            </w:r>
          </w:p>
        </w:tc>
        <w:tc>
          <w:tcPr>
            <w:tcW w:w="1900" w:type="dxa"/>
            <w:vAlign w:val="center"/>
          </w:tcPr>
          <w:p w14:paraId="2B17D439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Bloquear a operação, indicar pendências e manter formulário.</w:t>
            </w:r>
          </w:p>
        </w:tc>
        <w:tc>
          <w:tcPr>
            <w:tcW w:w="4720" w:type="dxa"/>
            <w:vAlign w:val="center"/>
          </w:tcPr>
          <w:p w14:paraId="4C3564E0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RF1/HU1; C1/C2/C4</w:t>
            </w:r>
          </w:p>
        </w:tc>
      </w:tr>
      <w:tr w:rsidR="003344A7" w:rsidRPr="003344A7" w14:paraId="6329C032" w14:textId="77777777" w:rsidTr="003344A7">
        <w:trPr>
          <w:cantSplit/>
        </w:trPr>
        <w:tc>
          <w:tcPr>
            <w:tcW w:w="2400" w:type="dxa"/>
            <w:vAlign w:val="center"/>
          </w:tcPr>
          <w:p w14:paraId="3AECBA27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Falha ao gravar OS ou seu evento inicial</w:t>
            </w:r>
          </w:p>
        </w:tc>
        <w:tc>
          <w:tcPr>
            <w:tcW w:w="1900" w:type="dxa"/>
            <w:vAlign w:val="center"/>
          </w:tcPr>
          <w:p w14:paraId="26AE4C67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Desfazer ambos; não exibir protocolo de sucesso.</w:t>
            </w:r>
          </w:p>
        </w:tc>
        <w:tc>
          <w:tcPr>
            <w:tcW w:w="4720" w:type="dxa"/>
            <w:vAlign w:val="center"/>
          </w:tcPr>
          <w:p w14:paraId="07B5C3EB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RF2/RF3; C2/C4</w:t>
            </w:r>
          </w:p>
        </w:tc>
      </w:tr>
      <w:tr w:rsidR="003344A7" w:rsidRPr="003344A7" w14:paraId="50375DBD" w14:textId="77777777" w:rsidTr="003344A7">
        <w:trPr>
          <w:cantSplit/>
        </w:trPr>
        <w:tc>
          <w:tcPr>
            <w:tcW w:w="2400" w:type="dxa"/>
            <w:vAlign w:val="center"/>
          </w:tcPr>
          <w:p w14:paraId="53BF3659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Técnico inicia OS atribuída e depois conclui</w:t>
            </w:r>
          </w:p>
        </w:tc>
        <w:tc>
          <w:tcPr>
            <w:tcW w:w="1900" w:type="dxa"/>
            <w:vAlign w:val="center"/>
          </w:tcPr>
          <w:p w14:paraId="6994DBA8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Registrar responsável e cada evento; impedir retorno após CONCLUÍDA.</w:t>
            </w:r>
          </w:p>
        </w:tc>
        <w:tc>
          <w:tcPr>
            <w:tcW w:w="4720" w:type="dxa"/>
            <w:vAlign w:val="center"/>
          </w:tcPr>
          <w:p w14:paraId="0EBBA862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RF2/RN1/HU2; C2/C3/C4</w:t>
            </w:r>
          </w:p>
        </w:tc>
      </w:tr>
      <w:tr w:rsidR="003344A7" w:rsidRPr="003344A7" w14:paraId="1A54E638" w14:textId="77777777" w:rsidTr="003344A7">
        <w:trPr>
          <w:cantSplit/>
        </w:trPr>
        <w:tc>
          <w:tcPr>
            <w:tcW w:w="2400" w:type="dxa"/>
            <w:vAlign w:val="center"/>
          </w:tcPr>
          <w:p w14:paraId="771406F4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lastRenderedPageBreak/>
              <w:t>Busca por número, cliente ou equipamento</w:t>
            </w:r>
          </w:p>
        </w:tc>
        <w:tc>
          <w:tcPr>
            <w:tcW w:w="1900" w:type="dxa"/>
            <w:vAlign w:val="center"/>
          </w:tcPr>
          <w:p w14:paraId="565BC30A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Número exato retorna a OS; nome parcial retorna correspondências; equipamento filtra suas OS. Histórico em ordem cronológica com data/hora, usuário e alteração.</w:t>
            </w:r>
          </w:p>
        </w:tc>
        <w:tc>
          <w:tcPr>
            <w:tcW w:w="4720" w:type="dxa"/>
            <w:vAlign w:val="center"/>
          </w:tcPr>
          <w:p w14:paraId="19562EFA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RF3/HU1; C1/C2/C4</w:t>
            </w:r>
          </w:p>
        </w:tc>
      </w:tr>
      <w:tr w:rsidR="003344A7" w:rsidRPr="003344A7" w14:paraId="210076E6" w14:textId="77777777" w:rsidTr="003344A7">
        <w:trPr>
          <w:cantSplit/>
        </w:trPr>
        <w:tc>
          <w:tcPr>
            <w:tcW w:w="2400" w:type="dxa"/>
            <w:vAlign w:val="center"/>
          </w:tcPr>
          <w:p w14:paraId="4610AB10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Perfil sem permissão chama diretamente a API</w:t>
            </w:r>
          </w:p>
        </w:tc>
        <w:tc>
          <w:tcPr>
            <w:tcW w:w="1900" w:type="dxa"/>
            <w:vAlign w:val="center"/>
          </w:tcPr>
          <w:p w14:paraId="087F71E9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Negar 100% das tentativas a dados administrativos/valores, sem leitura ou alteração indevida.</w:t>
            </w:r>
          </w:p>
        </w:tc>
        <w:tc>
          <w:tcPr>
            <w:tcW w:w="4720" w:type="dxa"/>
            <w:vAlign w:val="center"/>
          </w:tcPr>
          <w:p w14:paraId="1C41BD1B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RNF2; C2/C3/C4</w:t>
            </w:r>
          </w:p>
        </w:tc>
      </w:tr>
      <w:tr w:rsidR="003344A7" w:rsidRPr="003344A7" w14:paraId="4DC2DE40" w14:textId="77777777" w:rsidTr="003344A7">
        <w:trPr>
          <w:cantSplit/>
        </w:trPr>
        <w:tc>
          <w:tcPr>
            <w:tcW w:w="2400" w:type="dxa"/>
            <w:vAlign w:val="center"/>
          </w:tcPr>
          <w:p w14:paraId="29DE10F9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Operações principais com até 10.000 OS</w:t>
            </w:r>
          </w:p>
        </w:tc>
        <w:tc>
          <w:tcPr>
            <w:tcW w:w="1900" w:type="dxa"/>
            <w:vAlign w:val="center"/>
          </w:tcPr>
          <w:p w14:paraId="473DFBDF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Pelo menos 95% em até 2 s; registrar cenário, ambiente e medições por fluxo conforme A8 2.4.</w:t>
            </w:r>
          </w:p>
        </w:tc>
        <w:tc>
          <w:tcPr>
            <w:tcW w:w="4720" w:type="dxa"/>
            <w:vAlign w:val="center"/>
          </w:tcPr>
          <w:p w14:paraId="2FF46491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RNF1; C1/C2/C4</w:t>
            </w:r>
          </w:p>
        </w:tc>
      </w:tr>
    </w:tbl>
    <w:p w14:paraId="74B29C5C" w14:textId="5453E57E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</w:p>
    <w:p w14:paraId="4FD64498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</w:p>
    <w:p w14:paraId="7731566F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  <w:r w:rsidRPr="003344A7">
        <w:rPr>
          <w:rFonts w:ascii="Inter Tight" w:hAnsi="Inter Tight"/>
          <w:color w:val="000000"/>
          <w:sz w:val="22"/>
        </w:rPr>
        <w:t>Esses cenários são critérios propostos para implementação e validação, não resultados de testes executados do sistema integrado.</w:t>
      </w:r>
    </w:p>
    <w:p w14:paraId="08480011" w14:textId="77777777" w:rsidR="003344A7" w:rsidRPr="003344A7" w:rsidRDefault="003344A7" w:rsidP="003344A7">
      <w:pPr>
        <w:pStyle w:val="Ttulo1"/>
        <w:keepNext/>
        <w:spacing w:before="200" w:after="120"/>
      </w:pPr>
      <w:r w:rsidRPr="003344A7">
        <w:rPr>
          <w:rFonts w:ascii="Inter Tight" w:hAnsi="Inter Tight"/>
          <w:b/>
          <w:color w:val="000000"/>
          <w:sz w:val="24"/>
        </w:rPr>
        <w:t>2.7 Relação com o projeto atual</w:t>
      </w:r>
    </w:p>
    <w:p w14:paraId="0AEAD7DA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  <w:r w:rsidRPr="003344A7">
        <w:rPr>
          <w:rFonts w:ascii="Inter Tight" w:hAnsi="Inter Tight"/>
          <w:color w:val="000000"/>
          <w:sz w:val="22"/>
        </w:rPr>
        <w:t>O frontend TypeScript/Vite utiliza armazenamento local no navegador. As classes Java representam parte do domínio e executam separadamente. API, autenticação no servidor, banco e integração entre frontend e Java são propostos; esta entrega não os declara implementados. As regras e contratos aqui descritos orientam a evolução do protótipo.</w:t>
      </w:r>
    </w:p>
    <w:p w14:paraId="14D6A154" w14:textId="77777777" w:rsidR="003344A7" w:rsidRPr="003344A7" w:rsidRDefault="003344A7" w:rsidP="003344A7">
      <w:pPr>
        <w:pStyle w:val="Ttulo1"/>
        <w:keepNext/>
        <w:spacing w:before="200" w:after="120"/>
      </w:pPr>
      <w:r w:rsidRPr="003344A7">
        <w:rPr>
          <w:rFonts w:ascii="Inter Tight" w:hAnsi="Inter Tight"/>
          <w:b/>
          <w:color w:val="000000"/>
          <w:sz w:val="24"/>
        </w:rPr>
        <w:t>2.8 Revisão de coerência entre os artefatos</w:t>
      </w:r>
    </w:p>
    <w:p w14:paraId="2748D10A" w14:textId="6EEBFB09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400"/>
        <w:gridCol w:w="1900"/>
        <w:gridCol w:w="4720"/>
      </w:tblGrid>
      <w:tr w:rsidR="003344A7" w:rsidRPr="003344A7" w14:paraId="0C7ABD53" w14:textId="77777777" w:rsidTr="003344A7">
        <w:trPr>
          <w:cantSplit/>
          <w:tblHeader/>
        </w:trPr>
        <w:tc>
          <w:tcPr>
            <w:tcW w:w="2400" w:type="dxa"/>
            <w:shd w:val="clear" w:color="auto" w:fill="E6E6E6"/>
            <w:vAlign w:val="center"/>
          </w:tcPr>
          <w:p w14:paraId="33EC65F5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3344A7">
              <w:rPr>
                <w:rFonts w:ascii="Inter Tight" w:hAnsi="Inter Tight"/>
                <w:b/>
                <w:color w:val="000000"/>
                <w:sz w:val="19"/>
              </w:rPr>
              <w:t>Artefato e fonte</w:t>
            </w:r>
          </w:p>
        </w:tc>
        <w:tc>
          <w:tcPr>
            <w:tcW w:w="1900" w:type="dxa"/>
            <w:shd w:val="clear" w:color="auto" w:fill="E6E6E6"/>
            <w:vAlign w:val="center"/>
          </w:tcPr>
          <w:p w14:paraId="0F1036FB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3344A7">
              <w:rPr>
                <w:rFonts w:ascii="Inter Tight" w:hAnsi="Inter Tight"/>
                <w:b/>
                <w:color w:val="000000"/>
                <w:sz w:val="19"/>
              </w:rPr>
              <w:t>Conferência realizada</w:t>
            </w:r>
          </w:p>
        </w:tc>
        <w:tc>
          <w:tcPr>
            <w:tcW w:w="4720" w:type="dxa"/>
            <w:shd w:val="clear" w:color="auto" w:fill="E6E6E6"/>
            <w:vAlign w:val="center"/>
          </w:tcPr>
          <w:p w14:paraId="7C19FFE4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3344A7">
              <w:rPr>
                <w:rFonts w:ascii="Inter Tight" w:hAnsi="Inter Tight"/>
                <w:b/>
                <w:color w:val="000000"/>
                <w:sz w:val="19"/>
              </w:rPr>
              <w:t>Correção ou resultado</w:t>
            </w:r>
          </w:p>
        </w:tc>
      </w:tr>
      <w:tr w:rsidR="003344A7" w:rsidRPr="003344A7" w14:paraId="78601FF1" w14:textId="77777777" w:rsidTr="003344A7">
        <w:trPr>
          <w:cantSplit/>
        </w:trPr>
        <w:tc>
          <w:tcPr>
            <w:tcW w:w="2400" w:type="dxa"/>
            <w:vAlign w:val="center"/>
          </w:tcPr>
          <w:p w14:paraId="5BBDD76B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A2 — atividade02-12-08.pdf, seção 2</w:t>
            </w:r>
          </w:p>
        </w:tc>
        <w:tc>
          <w:tcPr>
            <w:tcW w:w="1900" w:type="dxa"/>
            <w:vAlign w:val="center"/>
          </w:tcPr>
          <w:p w14:paraId="1CFDFB8A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Ciclo incremental com práticas ágeis e possibilidade de feedback.</w:t>
            </w:r>
          </w:p>
        </w:tc>
        <w:tc>
          <w:tcPr>
            <w:tcW w:w="4720" w:type="dxa"/>
            <w:vAlign w:val="center"/>
          </w:tcPr>
          <w:p w14:paraId="56A7A48A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A7 adota Scrum; I1/I2 organizam valor. Relatórios citados como possibilidades na A2 não entram automaticamente na linha de base da A5.</w:t>
            </w:r>
          </w:p>
        </w:tc>
      </w:tr>
      <w:tr w:rsidR="003344A7" w:rsidRPr="003344A7" w14:paraId="333F546E" w14:textId="77777777" w:rsidTr="003344A7">
        <w:trPr>
          <w:cantSplit/>
        </w:trPr>
        <w:tc>
          <w:tcPr>
            <w:tcW w:w="2400" w:type="dxa"/>
            <w:vAlign w:val="center"/>
          </w:tcPr>
          <w:p w14:paraId="1AB64A47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A3 — Atividade_03_Levantamento_Requisitos_TechFix.pdf</w:t>
            </w:r>
          </w:p>
        </w:tc>
        <w:tc>
          <w:tcPr>
            <w:tcW w:w="1900" w:type="dxa"/>
            <w:vAlign w:val="center"/>
          </w:tcPr>
          <w:p w14:paraId="5E4C44A8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Entrevista simulada com Marcos Almeida; resumo §3 e requisitos §4, p. 1–3.</w:t>
            </w:r>
          </w:p>
        </w:tc>
        <w:tc>
          <w:tcPr>
            <w:tcW w:w="4720" w:type="dxa"/>
            <w:vAlign w:val="center"/>
          </w:tcPr>
          <w:p w14:paraId="2EF2CA15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Matriz vinculada aos IDs originais. Não se apresenta simulação como entrevista real nem resumo como transcrição.</w:t>
            </w:r>
          </w:p>
        </w:tc>
      </w:tr>
      <w:tr w:rsidR="003344A7" w:rsidRPr="003344A7" w14:paraId="20F7C79D" w14:textId="77777777" w:rsidTr="003344A7">
        <w:trPr>
          <w:cantSplit/>
        </w:trPr>
        <w:tc>
          <w:tcPr>
            <w:tcW w:w="2400" w:type="dxa"/>
            <w:vAlign w:val="center"/>
          </w:tcPr>
          <w:p w14:paraId="1F96E0C5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A4 — Atividade04.md</w:t>
            </w:r>
          </w:p>
        </w:tc>
        <w:tc>
          <w:tcPr>
            <w:tcW w:w="1900" w:type="dxa"/>
            <w:vAlign w:val="center"/>
          </w:tcPr>
          <w:p w14:paraId="7A39B31D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IDs, histórias e vínculos de origem.</w:t>
            </w:r>
          </w:p>
        </w:tc>
        <w:tc>
          <w:tcPr>
            <w:tcW w:w="4720" w:type="dxa"/>
            <w:vAlign w:val="center"/>
          </w:tcPr>
          <w:p w14:paraId="12995FAA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RF1/RF2/RF3, RN1, RNF1/RNF2 e HU1/HU2 preservados; HU2 vinculada a RE2.</w:t>
            </w:r>
          </w:p>
        </w:tc>
      </w:tr>
      <w:tr w:rsidR="003344A7" w:rsidRPr="003344A7" w14:paraId="0BF9CED0" w14:textId="77777777" w:rsidTr="003344A7">
        <w:trPr>
          <w:cantSplit/>
        </w:trPr>
        <w:tc>
          <w:tcPr>
            <w:tcW w:w="2400" w:type="dxa"/>
            <w:vAlign w:val="center"/>
          </w:tcPr>
          <w:p w14:paraId="5CB1971E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lastRenderedPageBreak/>
              <w:t>A5 — requisitos validados e feedback</w:t>
            </w:r>
          </w:p>
        </w:tc>
        <w:tc>
          <w:tcPr>
            <w:tcW w:w="1900" w:type="dxa"/>
            <w:vAlign w:val="center"/>
          </w:tcPr>
          <w:p w14:paraId="23FF45DF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Campos, estados, consulta, prioridades e volume de dados.</w:t>
            </w:r>
          </w:p>
        </w:tc>
        <w:tc>
          <w:tcPr>
            <w:tcW w:w="4720" w:type="dxa"/>
            <w:vAlign w:val="center"/>
          </w:tcPr>
          <w:p w14:paraId="13284C0A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Adotados os critérios e até 10.000 OS. A cópia local da tabela 2.2.1 difere da versão avaliada e deve ser sincronizada.</w:t>
            </w:r>
          </w:p>
        </w:tc>
      </w:tr>
      <w:tr w:rsidR="003344A7" w:rsidRPr="003344A7" w14:paraId="60974B14" w14:textId="77777777" w:rsidTr="003344A7">
        <w:trPr>
          <w:cantSplit/>
        </w:trPr>
        <w:tc>
          <w:tcPr>
            <w:tcW w:w="2400" w:type="dxa"/>
            <w:vAlign w:val="center"/>
          </w:tcPr>
          <w:p w14:paraId="097FB75D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A6 — reflexão individual de Arthur</w:t>
            </w:r>
          </w:p>
        </w:tc>
        <w:tc>
          <w:tcPr>
            <w:tcW w:w="1900" w:type="dxa"/>
            <w:vAlign w:val="center"/>
          </w:tcPr>
          <w:p w14:paraId="03AA2E4D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Revisão antes de concluir e registro de decisões por incremento.</w:t>
            </w:r>
          </w:p>
        </w:tc>
        <w:tc>
          <w:tcPr>
            <w:tcW w:w="4720" w:type="dxa"/>
            <w:vAlign w:val="center"/>
          </w:tcPr>
          <w:p w14:paraId="32BEE656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A7 2.5 transforma a melhoria em DoD; A10 2.4 exige evidências e revisão cruzada.</w:t>
            </w:r>
          </w:p>
        </w:tc>
      </w:tr>
      <w:tr w:rsidR="003344A7" w:rsidRPr="003344A7" w14:paraId="402E0DD8" w14:textId="77777777" w:rsidTr="003344A7">
        <w:trPr>
          <w:cantSplit/>
        </w:trPr>
        <w:tc>
          <w:tcPr>
            <w:tcW w:w="2400" w:type="dxa"/>
            <w:vAlign w:val="center"/>
          </w:tcPr>
          <w:p w14:paraId="2728364D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A7 — A7-Processo-Entrega-Final.md</w:t>
            </w:r>
          </w:p>
        </w:tc>
        <w:tc>
          <w:tcPr>
            <w:tcW w:w="1900" w:type="dxa"/>
            <w:vAlign w:val="center"/>
          </w:tcPr>
          <w:p w14:paraId="4CB8015D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Processo, papéis, revisão e validação do PO.</w:t>
            </w:r>
          </w:p>
        </w:tc>
        <w:tc>
          <w:tcPr>
            <w:tcW w:w="4720" w:type="dxa"/>
            <w:vAlign w:val="center"/>
          </w:tcPr>
          <w:p w14:paraId="4A191B03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Ligações explícitas com C1–C4; conclusão técnica separada da decisão de negócio.</w:t>
            </w:r>
          </w:p>
        </w:tc>
      </w:tr>
      <w:tr w:rsidR="003344A7" w:rsidRPr="003344A7" w14:paraId="79D7B4A1" w14:textId="77777777" w:rsidTr="003344A7">
        <w:trPr>
          <w:cantSplit/>
        </w:trPr>
        <w:tc>
          <w:tcPr>
            <w:tcW w:w="2400" w:type="dxa"/>
            <w:vAlign w:val="center"/>
          </w:tcPr>
          <w:p w14:paraId="41D5E372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A8 — A8-Entrega-Final-Revisada.md</w:t>
            </w:r>
          </w:p>
        </w:tc>
        <w:tc>
          <w:tcPr>
            <w:tcW w:w="1900" w:type="dxa"/>
            <w:vAlign w:val="center"/>
          </w:tcPr>
          <w:p w14:paraId="45836D4C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Oito requisitos, nove itens e dois incrementos.</w:t>
            </w:r>
          </w:p>
        </w:tc>
        <w:tc>
          <w:tcPr>
            <w:tcW w:w="4720" w:type="dxa"/>
            <w:vAlign w:val="center"/>
          </w:tcPr>
          <w:p w14:paraId="5E04D121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Mesmos IDs, prioridades e estados; pagamento, avaliação e relatório fora da linha de base. Consenso de estimativas deve ser registrado pela dupla.</w:t>
            </w:r>
          </w:p>
        </w:tc>
      </w:tr>
      <w:tr w:rsidR="003344A7" w:rsidRPr="003344A7" w14:paraId="32AD36E5" w14:textId="77777777" w:rsidTr="003344A7">
        <w:trPr>
          <w:cantSplit/>
        </w:trPr>
        <w:tc>
          <w:tcPr>
            <w:tcW w:w="2400" w:type="dxa"/>
            <w:vAlign w:val="center"/>
          </w:tcPr>
          <w:p w14:paraId="633975EE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A9 — referência local Modelagem-Entrega-Final.md</w:t>
            </w:r>
          </w:p>
        </w:tc>
        <w:tc>
          <w:tcPr>
            <w:tcW w:w="1900" w:type="dxa"/>
            <w:vAlign w:val="center"/>
          </w:tcPr>
          <w:p w14:paraId="2E6E059A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Fluxograma e wireframe de cadastro/abertura, seções 2.2/2.3.</w:t>
            </w:r>
          </w:p>
        </w:tc>
        <w:tc>
          <w:tcPr>
            <w:tcW w:w="4720" w:type="dxa"/>
            <w:vAlign w:val="center"/>
          </w:tcPr>
          <w:p w14:paraId="4DD9AC20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A arquitetura preserva validação, autorização, histórico e tratamento de falhas; telas de consulta/atualização não são atribuídas aos modelos existentes.</w:t>
            </w:r>
          </w:p>
        </w:tc>
      </w:tr>
    </w:tbl>
    <w:p w14:paraId="1A31BED1" w14:textId="6E0A74EA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</w:p>
    <w:p w14:paraId="1079B117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</w:p>
    <w:p w14:paraId="48E0F6B9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  <w:r w:rsidRPr="003344A7">
        <w:rPr>
          <w:rFonts w:ascii="Inter Tight" w:hAnsi="Inter Tight"/>
          <w:color w:val="000000"/>
          <w:sz w:val="22"/>
        </w:rPr>
        <w:t>A conferência demonstra alinhamento entre o processo definido, o backlog revisado, os modelos consultados e os componentes propostos. O fechamento documental ainda exige a sincronização da A5 avaliada e a confirmação do arquivo entregue da A9. A origem foi vinculada ao resumo e aos requisitos da A3 fornecida; respostas literais não constam desse arquivo. Esses pontos não são apresentados como verificações já concluídas.</w:t>
      </w:r>
    </w:p>
    <w:p w14:paraId="58DCD403" w14:textId="77777777" w:rsidR="003344A7" w:rsidRPr="003344A7" w:rsidRDefault="003344A7" w:rsidP="003344A7">
      <w:pPr>
        <w:pStyle w:val="Ttulo1"/>
        <w:keepNext/>
        <w:spacing w:before="200" w:after="120"/>
      </w:pPr>
      <w:r w:rsidRPr="003344A7">
        <w:rPr>
          <w:rFonts w:ascii="Inter Tight" w:hAnsi="Inter Tight"/>
          <w:b/>
          <w:color w:val="000000"/>
          <w:sz w:val="24"/>
        </w:rPr>
        <w:t>2.9 Correções em relação ao esboço</w:t>
      </w:r>
    </w:p>
    <w:p w14:paraId="617014ED" w14:textId="7F724EA0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400"/>
        <w:gridCol w:w="1900"/>
        <w:gridCol w:w="4720"/>
      </w:tblGrid>
      <w:tr w:rsidR="003344A7" w:rsidRPr="003344A7" w14:paraId="1A326F2F" w14:textId="77777777" w:rsidTr="003344A7">
        <w:trPr>
          <w:cantSplit/>
          <w:tblHeader/>
        </w:trPr>
        <w:tc>
          <w:tcPr>
            <w:tcW w:w="2400" w:type="dxa"/>
            <w:shd w:val="clear" w:color="auto" w:fill="E6E6E6"/>
            <w:vAlign w:val="center"/>
          </w:tcPr>
          <w:p w14:paraId="3FEFD045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3344A7">
              <w:rPr>
                <w:rFonts w:ascii="Inter Tight" w:hAnsi="Inter Tight"/>
                <w:b/>
                <w:color w:val="000000"/>
                <w:sz w:val="19"/>
              </w:rPr>
              <w:t>No esboço Arquitetura-Rastreabilidade-Esboco.md</w:t>
            </w:r>
          </w:p>
        </w:tc>
        <w:tc>
          <w:tcPr>
            <w:tcW w:w="1900" w:type="dxa"/>
            <w:shd w:val="clear" w:color="auto" w:fill="E6E6E6"/>
            <w:vAlign w:val="center"/>
          </w:tcPr>
          <w:p w14:paraId="6E15BF7B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3344A7">
              <w:rPr>
                <w:rFonts w:ascii="Inter Tight" w:hAnsi="Inter Tight"/>
                <w:b/>
                <w:color w:val="000000"/>
                <w:sz w:val="19"/>
              </w:rPr>
              <w:t>Na versão final</w:t>
            </w:r>
          </w:p>
        </w:tc>
        <w:tc>
          <w:tcPr>
            <w:tcW w:w="4720" w:type="dxa"/>
            <w:shd w:val="clear" w:color="auto" w:fill="E6E6E6"/>
            <w:vAlign w:val="center"/>
          </w:tcPr>
          <w:p w14:paraId="535FB869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3344A7">
              <w:rPr>
                <w:rFonts w:ascii="Inter Tight" w:hAnsi="Inter Tight"/>
                <w:b/>
                <w:color w:val="000000"/>
                <w:sz w:val="19"/>
              </w:rPr>
              <w:t>Evidência</w:t>
            </w:r>
          </w:p>
        </w:tc>
      </w:tr>
      <w:tr w:rsidR="003344A7" w:rsidRPr="003344A7" w14:paraId="154DF357" w14:textId="77777777" w:rsidTr="003344A7">
        <w:trPr>
          <w:cantSplit/>
        </w:trPr>
        <w:tc>
          <w:tcPr>
            <w:tcW w:w="2400" w:type="dxa"/>
            <w:vAlign w:val="center"/>
          </w:tcPr>
          <w:p w14:paraId="1BE02C27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Caminho textual entre componentes.</w:t>
            </w:r>
          </w:p>
        </w:tc>
        <w:tc>
          <w:tcPr>
            <w:tcW w:w="1900" w:type="dxa"/>
            <w:vAlign w:val="center"/>
          </w:tcPr>
          <w:p w14:paraId="020A91FD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Diagrama vetorial com C1–C4 e setas de comunicação.</w:t>
            </w:r>
          </w:p>
        </w:tc>
        <w:tc>
          <w:tcPr>
            <w:tcW w:w="4720" w:type="dxa"/>
            <w:vAlign w:val="center"/>
          </w:tcPr>
          <w:p w14:paraId="6A8F44C4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Seção 2.2 e A10-Arquitetura.svg.</w:t>
            </w:r>
          </w:p>
        </w:tc>
      </w:tr>
      <w:tr w:rsidR="003344A7" w:rsidRPr="003344A7" w14:paraId="2F7D1AED" w14:textId="77777777" w:rsidTr="003344A7">
        <w:trPr>
          <w:cantSplit/>
        </w:trPr>
        <w:tc>
          <w:tcPr>
            <w:tcW w:w="2400" w:type="dxa"/>
            <w:vAlign w:val="center"/>
          </w:tcPr>
          <w:p w14:paraId="6A7D1CCE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Matriz inicial com três requisitos.</w:t>
            </w:r>
          </w:p>
        </w:tc>
        <w:tc>
          <w:tcPr>
            <w:tcW w:w="1900" w:type="dxa"/>
            <w:vAlign w:val="center"/>
          </w:tcPr>
          <w:p w14:paraId="5CC7009F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Oito requisitos/histórias, com backlog, modelos e componentes.</w:t>
            </w:r>
          </w:p>
        </w:tc>
        <w:tc>
          <w:tcPr>
            <w:tcW w:w="4720" w:type="dxa"/>
            <w:vAlign w:val="center"/>
          </w:tcPr>
          <w:p w14:paraId="596FC248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Seção 2.5; origem A3 por seção, página e ID, preservando o caráter simulado.</w:t>
            </w:r>
          </w:p>
        </w:tc>
      </w:tr>
      <w:tr w:rsidR="003344A7" w:rsidRPr="003344A7" w14:paraId="5428E6C0" w14:textId="77777777" w:rsidTr="003344A7">
        <w:trPr>
          <w:cantSplit/>
        </w:trPr>
        <w:tc>
          <w:tcPr>
            <w:tcW w:w="2400" w:type="dxa"/>
            <w:vAlign w:val="center"/>
          </w:tcPr>
          <w:p w14:paraId="6D7EB69C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Processo da A7 não conectado.</w:t>
            </w:r>
          </w:p>
        </w:tc>
        <w:tc>
          <w:tcPr>
            <w:tcW w:w="1900" w:type="dxa"/>
            <w:vAlign w:val="center"/>
          </w:tcPr>
          <w:p w14:paraId="31306793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Scrum, papéis, DoD e validação do PO ligados aos componentes.</w:t>
            </w:r>
          </w:p>
        </w:tc>
        <w:tc>
          <w:tcPr>
            <w:tcW w:w="4720" w:type="dxa"/>
            <w:vAlign w:val="center"/>
          </w:tcPr>
          <w:p w14:paraId="29023145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Seção 2.4 e A7 final 2.2–2.5.</w:t>
            </w:r>
          </w:p>
        </w:tc>
      </w:tr>
      <w:tr w:rsidR="003344A7" w:rsidRPr="003344A7" w14:paraId="44CFFC16" w14:textId="77777777" w:rsidTr="003344A7">
        <w:trPr>
          <w:cantSplit/>
        </w:trPr>
        <w:tc>
          <w:tcPr>
            <w:tcW w:w="2400" w:type="dxa"/>
            <w:vAlign w:val="center"/>
          </w:tcPr>
          <w:p w14:paraId="402946EA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Ausência de revisão sistemática entre artefatos.</w:t>
            </w:r>
          </w:p>
        </w:tc>
        <w:tc>
          <w:tcPr>
            <w:tcW w:w="1900" w:type="dxa"/>
            <w:vAlign w:val="center"/>
          </w:tcPr>
          <w:p w14:paraId="0A925FD2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Conferência por artefato e registro das inconsistências.</w:t>
            </w:r>
          </w:p>
        </w:tc>
        <w:tc>
          <w:tcPr>
            <w:tcW w:w="4720" w:type="dxa"/>
            <w:vAlign w:val="center"/>
          </w:tcPr>
          <w:p w14:paraId="2C72A27A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Seção 2.8.</w:t>
            </w:r>
          </w:p>
        </w:tc>
      </w:tr>
      <w:tr w:rsidR="003344A7" w:rsidRPr="003344A7" w14:paraId="6794D3E0" w14:textId="77777777" w:rsidTr="003344A7">
        <w:trPr>
          <w:cantSplit/>
        </w:trPr>
        <w:tc>
          <w:tcPr>
            <w:tcW w:w="2400" w:type="dxa"/>
            <w:vAlign w:val="center"/>
          </w:tcPr>
          <w:p w14:paraId="7A06A2B1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lastRenderedPageBreak/>
              <w:t>Formato simples de oficina.</w:t>
            </w:r>
          </w:p>
        </w:tc>
        <w:tc>
          <w:tcPr>
            <w:tcW w:w="1900" w:type="dxa"/>
            <w:vAlign w:val="center"/>
          </w:tcPr>
          <w:p w14:paraId="6B9C642C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Cinco seções da ficha padrão, disciplina e prazo identificados.</w:t>
            </w:r>
          </w:p>
        </w:tc>
        <w:tc>
          <w:tcPr>
            <w:tcW w:w="4720" w:type="dxa"/>
            <w:vAlign w:val="center"/>
          </w:tcPr>
          <w:p w14:paraId="69BBE032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Seções 1 a 5.</w:t>
            </w:r>
          </w:p>
        </w:tc>
      </w:tr>
      <w:tr w:rsidR="003344A7" w:rsidRPr="003344A7" w14:paraId="411FE3C8" w14:textId="77777777" w:rsidTr="003344A7">
        <w:trPr>
          <w:cantSplit/>
        </w:trPr>
        <w:tc>
          <w:tcPr>
            <w:tcW w:w="2400" w:type="dxa"/>
            <w:vAlign w:val="center"/>
          </w:tcPr>
          <w:p w14:paraId="53911FED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Evolução de estados sem cobertura completa da matriz.</w:t>
            </w:r>
          </w:p>
        </w:tc>
        <w:tc>
          <w:tcPr>
            <w:tcW w:w="1900" w:type="dxa"/>
            <w:vAlign w:val="center"/>
          </w:tcPr>
          <w:p w14:paraId="0182A1FD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RN1 e HU2 ligados à atribuição, início, conclusão e histórico.</w:t>
            </w:r>
          </w:p>
        </w:tc>
        <w:tc>
          <w:tcPr>
            <w:tcW w:w="4720" w:type="dxa"/>
            <w:vAlign w:val="center"/>
          </w:tcPr>
          <w:p w14:paraId="0B8D270D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Seções 2.3, 2.5 e 2.6.</w:t>
            </w:r>
          </w:p>
        </w:tc>
      </w:tr>
    </w:tbl>
    <w:p w14:paraId="0145B139" w14:textId="5F3F45E9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</w:p>
    <w:p w14:paraId="1B058004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</w:p>
    <w:p w14:paraId="33E7210B" w14:textId="77777777" w:rsidR="003344A7" w:rsidRPr="003344A7" w:rsidRDefault="003344A7" w:rsidP="003344A7">
      <w:pPr>
        <w:pStyle w:val="Ttulo1"/>
        <w:keepNext/>
        <w:spacing w:before="200" w:after="120"/>
      </w:pPr>
      <w:r w:rsidRPr="003344A7">
        <w:rPr>
          <w:rFonts w:ascii="Inter Tight" w:hAnsi="Inter Tight"/>
          <w:b/>
          <w:color w:val="000000"/>
          <w:sz w:val="24"/>
        </w:rPr>
        <w:t>3. Decisões e pendências</w:t>
      </w:r>
    </w:p>
    <w:p w14:paraId="0AA1C233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  <w:r w:rsidRPr="003344A7">
        <w:rPr>
          <w:rFonts w:ascii="Inter Tight" w:hAnsi="Inter Tight"/>
          <w:color w:val="000000"/>
          <w:sz w:val="22"/>
        </w:rPr>
        <w:t>Decisões documentadas: manter C1–C4, autorização no servidor e transação única para OS/histórico; cobrir os oito requisitos da A5; relacionar arquitetura à revisão por outro integrante e à validação da saída de C1 pelo PO; manter integrações externas fora da linha de base.</w:t>
      </w:r>
    </w:p>
    <w:p w14:paraId="4C50303F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  <w:r w:rsidRPr="003344A7">
        <w:rPr>
          <w:rFonts w:ascii="Inter Tight" w:hAnsi="Inter Tight"/>
          <w:color w:val="000000"/>
          <w:sz w:val="22"/>
        </w:rPr>
        <w:t>Pendências / próximos passos: confirmar a correspondência da modelagem local com a A9 entregue; sincronizar a A5 avaliada e conferir sua matriz de perfis; concluir a revisão em dupla e assinar. A A7 produzida nesta elaboração está vinculada ao índice. O Registro-Revisao-Equipe.md concentra os campos de fechamento.</w:t>
      </w:r>
    </w:p>
    <w:p w14:paraId="2FD1412D" w14:textId="77777777" w:rsidR="003344A7" w:rsidRPr="003344A7" w:rsidRDefault="003344A7" w:rsidP="003344A7">
      <w:pPr>
        <w:pStyle w:val="Ttulo1"/>
        <w:keepNext/>
        <w:spacing w:before="200" w:after="120"/>
      </w:pPr>
      <w:r w:rsidRPr="003344A7">
        <w:rPr>
          <w:rFonts w:ascii="Inter Tight" w:hAnsi="Inter Tight"/>
          <w:b/>
          <w:color w:val="000000"/>
          <w:sz w:val="24"/>
        </w:rPr>
        <w:t>4. Declaração de uso de Inteligência Artificial</w:t>
      </w:r>
    </w:p>
    <w:p w14:paraId="6D620C73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  <w:r w:rsidRPr="003344A7">
        <w:rPr>
          <w:rFonts w:ascii="Inter Tight" w:hAnsi="Inter Tight"/>
          <w:color w:val="000000"/>
          <w:sz w:val="22"/>
        </w:rPr>
        <w:t>Conforme o Manual da Disciplina (seção 6 — Uso de Inteligência Artificial), toda utilização relevante de IA no desenvolvimento desta atividade deve ser declarada abaixo e também registrada no arquivo DEVLOG.md do repositório do projeto.</w:t>
      </w:r>
    </w:p>
    <w:p w14:paraId="2B096708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  <w:r w:rsidRPr="003344A7">
        <w:rPr>
          <w:rFonts w:ascii="Inter Tight" w:hAnsi="Inter Tight"/>
          <w:color w:val="000000"/>
          <w:sz w:val="22"/>
        </w:rPr>
        <w:t>( ) A equipe não utilizou ferramentas de IA nesta atividade.</w:t>
      </w:r>
    </w:p>
    <w:p w14:paraId="7EA65981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  <w:r w:rsidRPr="003344A7">
        <w:rPr>
          <w:rFonts w:ascii="Inter Tight" w:hAnsi="Inter Tight"/>
          <w:color w:val="000000"/>
          <w:sz w:val="22"/>
        </w:rPr>
        <w:t>(X) A equipe utilizou ferramentas de IA nesta atividade — declaração abaixo.</w:t>
      </w:r>
    </w:p>
    <w:p w14:paraId="6A529932" w14:textId="0816E042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540"/>
        <w:gridCol w:w="2000"/>
        <w:gridCol w:w="2700"/>
        <w:gridCol w:w="2780"/>
      </w:tblGrid>
      <w:tr w:rsidR="003344A7" w:rsidRPr="003344A7" w14:paraId="566B5ED3" w14:textId="77777777" w:rsidTr="003344A7">
        <w:trPr>
          <w:cantSplit/>
          <w:tblHeader/>
        </w:trPr>
        <w:tc>
          <w:tcPr>
            <w:tcW w:w="1540" w:type="dxa"/>
            <w:shd w:val="clear" w:color="auto" w:fill="E6E6E6"/>
            <w:vAlign w:val="center"/>
          </w:tcPr>
          <w:p w14:paraId="35FE679C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3344A7">
              <w:rPr>
                <w:rFonts w:ascii="Inter Tight" w:hAnsi="Inter Tight"/>
                <w:b/>
                <w:color w:val="000000"/>
                <w:sz w:val="19"/>
              </w:rPr>
              <w:t>Data e ferramenta</w:t>
            </w:r>
          </w:p>
        </w:tc>
        <w:tc>
          <w:tcPr>
            <w:tcW w:w="2000" w:type="dxa"/>
            <w:shd w:val="clear" w:color="auto" w:fill="E6E6E6"/>
            <w:vAlign w:val="center"/>
          </w:tcPr>
          <w:p w14:paraId="7BD9A56F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3344A7">
              <w:rPr>
                <w:rFonts w:ascii="Inter Tight" w:hAnsi="Inter Tight"/>
                <w:b/>
                <w:color w:val="000000"/>
                <w:sz w:val="19"/>
              </w:rPr>
              <w:t>Objetivo do uso</w:t>
            </w:r>
          </w:p>
        </w:tc>
        <w:tc>
          <w:tcPr>
            <w:tcW w:w="2700" w:type="dxa"/>
            <w:shd w:val="clear" w:color="auto" w:fill="E6E6E6"/>
            <w:vAlign w:val="center"/>
          </w:tcPr>
          <w:p w14:paraId="67AC8464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3344A7">
              <w:rPr>
                <w:rFonts w:ascii="Inter Tight" w:hAnsi="Inter Tight"/>
                <w:b/>
                <w:color w:val="000000"/>
                <w:sz w:val="19"/>
              </w:rPr>
              <w:t>Prompt ou resumo da interação</w:t>
            </w:r>
          </w:p>
        </w:tc>
        <w:tc>
          <w:tcPr>
            <w:tcW w:w="2780" w:type="dxa"/>
            <w:shd w:val="clear" w:color="auto" w:fill="E6E6E6"/>
            <w:vAlign w:val="center"/>
          </w:tcPr>
          <w:p w14:paraId="605FCDE9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3344A7">
              <w:rPr>
                <w:rFonts w:ascii="Inter Tight" w:hAnsi="Inter Tight"/>
                <w:b/>
                <w:color w:val="000000"/>
                <w:sz w:val="19"/>
              </w:rPr>
              <w:t>Resultado aproveitado / rejeitado / modificado</w:t>
            </w:r>
          </w:p>
        </w:tc>
      </w:tr>
      <w:tr w:rsidR="003344A7" w:rsidRPr="003344A7" w14:paraId="1C6211F4" w14:textId="77777777" w:rsidTr="003344A7">
        <w:trPr>
          <w:cantSplit/>
        </w:trPr>
        <w:tc>
          <w:tcPr>
            <w:tcW w:w="1540" w:type="dxa"/>
            <w:vAlign w:val="center"/>
          </w:tcPr>
          <w:p w14:paraId="7021B62B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30/09/2026 — ChatGPT/Codex</w:t>
            </w:r>
          </w:p>
        </w:tc>
        <w:tc>
          <w:tcPr>
            <w:tcW w:w="2000" w:type="dxa"/>
            <w:vAlign w:val="center"/>
          </w:tcPr>
          <w:p w14:paraId="58567094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Organizar o esboço.</w:t>
            </w:r>
          </w:p>
        </w:tc>
        <w:tc>
          <w:tcPr>
            <w:tcW w:w="2700" w:type="dxa"/>
            <w:vAlign w:val="center"/>
          </w:tcPr>
          <w:p w14:paraId="0729B968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Relacionar requisitos, backlog, modelos e componentes.</w:t>
            </w:r>
          </w:p>
        </w:tc>
        <w:tc>
          <w:tcPr>
            <w:tcW w:w="2780" w:type="dxa"/>
            <w:vAlign w:val="center"/>
          </w:tcPr>
          <w:p w14:paraId="66BA83E0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Base dos componentes C1–C4 e fluxo de abertura.</w:t>
            </w:r>
          </w:p>
        </w:tc>
      </w:tr>
      <w:tr w:rsidR="003344A7" w:rsidRPr="003344A7" w14:paraId="6843B22A" w14:textId="77777777" w:rsidTr="003344A7">
        <w:trPr>
          <w:cantSplit/>
        </w:trPr>
        <w:tc>
          <w:tcPr>
            <w:tcW w:w="1540" w:type="dxa"/>
            <w:vAlign w:val="center"/>
          </w:tcPr>
          <w:p w14:paraId="79576E7E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07/10/2026 — ChatGPT/Codex</w:t>
            </w:r>
          </w:p>
        </w:tc>
        <w:tc>
          <w:tcPr>
            <w:tcW w:w="2000" w:type="dxa"/>
            <w:vAlign w:val="center"/>
          </w:tcPr>
          <w:p w14:paraId="2A36C219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Corrigir a A10 conforme feedback.</w:t>
            </w:r>
          </w:p>
        </w:tc>
        <w:tc>
          <w:tcPr>
            <w:tcW w:w="2700" w:type="dxa"/>
            <w:vAlign w:val="center"/>
          </w:tcPr>
          <w:p w14:paraId="11C10955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Completar matriz, desenhar arquitetura e explicitar vínculos com A7 e validação do PO.</w:t>
            </w:r>
          </w:p>
        </w:tc>
        <w:tc>
          <w:tcPr>
            <w:tcW w:w="2780" w:type="dxa"/>
            <w:vAlign w:val="center"/>
          </w:tcPr>
          <w:p w14:paraId="358FC9F6" w14:textId="77777777" w:rsidR="003344A7" w:rsidRPr="003344A7" w:rsidRDefault="003344A7" w:rsidP="003344A7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3344A7">
              <w:rPr>
                <w:rFonts w:ascii="Inter Tight" w:hAnsi="Inter Tight"/>
                <w:color w:val="000000"/>
                <w:sz w:val="19"/>
              </w:rPr>
              <w:t>Matriz dos oito requisitos, diagrama vetorial e ficha padrão. Origem A3 complementada por página/seção/ID na preparação da AP2. Citações, consenso e assinaturas não foram inventados.</w:t>
            </w:r>
          </w:p>
        </w:tc>
      </w:tr>
    </w:tbl>
    <w:p w14:paraId="73428F1F" w14:textId="70A60623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</w:p>
    <w:p w14:paraId="63B2755A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</w:p>
    <w:p w14:paraId="250961EF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  <w:r w:rsidRPr="003344A7">
        <w:rPr>
          <w:rFonts w:ascii="Inter Tight" w:hAnsi="Inter Tight"/>
          <w:color w:val="000000"/>
          <w:sz w:val="22"/>
        </w:rPr>
        <w:lastRenderedPageBreak/>
        <w:t>Forma de verificação: confronto com feedback, A3 fornecida (p. 1–3), A4, critérios/prioridades locais da A5, A8 revisada e modelos. Conferência dos IDs, dependências e distinção entre arquitetura proposta e implementação. Revisão da equipe registrada separadamente.</w:t>
      </w:r>
    </w:p>
    <w:p w14:paraId="1F3791DD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  <w:r w:rsidRPr="003344A7">
        <w:rPr>
          <w:rFonts w:ascii="Inter Tight" w:hAnsi="Inter Tight"/>
          <w:color w:val="000000"/>
          <w:sz w:val="22"/>
        </w:rPr>
        <w:t>Responsável pela decisão final sobre o uso: Arthur Scharfenberger e Lucas Oliveira da Silva.</w:t>
      </w:r>
    </w:p>
    <w:p w14:paraId="7F0CF5CF" w14:textId="77777777" w:rsidR="003344A7" w:rsidRPr="003344A7" w:rsidRDefault="003344A7" w:rsidP="003344A7">
      <w:pPr>
        <w:pStyle w:val="Ttulo1"/>
        <w:keepNext/>
        <w:spacing w:before="200" w:after="120"/>
      </w:pPr>
      <w:r w:rsidRPr="003344A7">
        <w:rPr>
          <w:rFonts w:ascii="Inter Tight" w:hAnsi="Inter Tight"/>
          <w:b/>
          <w:color w:val="000000"/>
          <w:sz w:val="24"/>
        </w:rPr>
        <w:t>5. Responsabilidade e autoria</w:t>
      </w:r>
    </w:p>
    <w:p w14:paraId="552CC2C4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  <w:r w:rsidRPr="003344A7">
        <w:rPr>
          <w:rFonts w:ascii="Inter Tight" w:hAnsi="Inter Tight"/>
          <w:color w:val="000000"/>
          <w:sz w:val="22"/>
        </w:rPr>
        <w:t>A equipe declara que este documento foi lido, compreendido e validado por todos os integrantes, que respondem integralmente pela correção, coerência, legalidade e autoria do conteúdo entregue. Qualquer integrante poderá ser questionado, em apresentação, sobre partes produzidas com apoio de IA.</w:t>
      </w:r>
    </w:p>
    <w:p w14:paraId="6B0512F4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  <w:r w:rsidRPr="003344A7">
        <w:rPr>
          <w:rFonts w:ascii="Inter Tight" w:hAnsi="Inter Tight"/>
          <w:color w:val="000000"/>
          <w:sz w:val="22"/>
        </w:rPr>
        <w:t>Assinatura (nomes por extenso):</w:t>
      </w:r>
    </w:p>
    <w:p w14:paraId="08FC376E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  <w:r w:rsidRPr="003344A7">
        <w:rPr>
          <w:rFonts w:ascii="Inter Tight" w:hAnsi="Inter Tight"/>
          <w:color w:val="000000"/>
          <w:sz w:val="22"/>
        </w:rPr>
        <w:t>Arthur Scharfenberger: ____________________________________________________</w:t>
      </w:r>
    </w:p>
    <w:p w14:paraId="593E78BA" w14:textId="77777777" w:rsidR="003344A7" w:rsidRPr="003344A7" w:rsidRDefault="003344A7" w:rsidP="003344A7">
      <w:pPr>
        <w:spacing w:after="120"/>
        <w:rPr>
          <w:rFonts w:ascii="Inter Tight" w:hAnsi="Inter Tight"/>
          <w:color w:val="000000"/>
          <w:sz w:val="22"/>
        </w:rPr>
      </w:pPr>
      <w:r w:rsidRPr="003344A7">
        <w:rPr>
          <w:rFonts w:ascii="Inter Tight" w:hAnsi="Inter Tight"/>
          <w:color w:val="000000"/>
          <w:sz w:val="22"/>
        </w:rPr>
        <w:t>Lucas Oliveira da Silva: ____________________________________________________</w:t>
      </w:r>
    </w:p>
    <w:p w14:paraId="0000002C" w14:textId="141A8A75" w:rsidR="00A81C44" w:rsidRPr="003344A7" w:rsidRDefault="00A81C44" w:rsidP="003344A7">
      <w:pPr>
        <w:spacing w:after="120"/>
        <w:rPr>
          <w:rFonts w:ascii="Inter Tight" w:eastAsia="Inter Tight" w:hAnsi="Inter Tight" w:cs="Inter Tight"/>
          <w:color w:val="000000"/>
          <w:sz w:val="22"/>
        </w:rPr>
      </w:pPr>
    </w:p>
    <w:sectPr w:rsidR="00A81C44" w:rsidRPr="003344A7">
      <w:headerReference w:type="default" r:id="rId10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65F77" w14:textId="77777777" w:rsidR="003344A7" w:rsidRDefault="003344A7">
      <w:r>
        <w:separator/>
      </w:r>
    </w:p>
  </w:endnote>
  <w:endnote w:type="continuationSeparator" w:id="0">
    <w:p w14:paraId="3ED36991" w14:textId="77777777" w:rsidR="003344A7" w:rsidRDefault="00334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CF925316-136F-4DD9-AE19-23C3EC5AFE9E}"/>
  </w:font>
  <w:font w:name="Inter Tight">
    <w:charset w:val="00"/>
    <w:family w:val="auto"/>
    <w:pitch w:val="default"/>
    <w:embedRegular r:id="rId2" w:fontKey="{5CD44059-6DB8-44E6-A64E-D8E61B8285D6}"/>
    <w:embedBold r:id="rId3" w:fontKey="{A46B2493-7BA3-44C0-8934-4A8C55A222A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E2DFE44-7AAA-4B74-A43F-EA7BA191AF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294FA1F-2E65-46A4-A3BA-4941D4DD928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D4765" w14:textId="77777777" w:rsidR="003344A7" w:rsidRDefault="003344A7">
      <w:r>
        <w:separator/>
      </w:r>
    </w:p>
  </w:footnote>
  <w:footnote w:type="continuationSeparator" w:id="0">
    <w:p w14:paraId="56060426" w14:textId="77777777" w:rsidR="003344A7" w:rsidRDefault="00334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D" w14:textId="77777777" w:rsidR="00A81C44" w:rsidRDefault="003344A7">
    <w:pPr>
      <w:spacing w:after="40"/>
      <w:jc w:val="right"/>
      <w:rPr>
        <w:rFonts w:ascii="Inter Tight" w:eastAsia="Inter Tight" w:hAnsi="Inter Tight" w:cs="Inter Tight"/>
      </w:rPr>
    </w:pPr>
    <w:r>
      <w:rPr>
        <w:rFonts w:ascii="Inter Tight" w:eastAsia="Inter Tight" w:hAnsi="Inter Tight" w:cs="Inter Tight"/>
      </w:rPr>
      <w:t>ULBRA — Universidade Luterana do Brasil</w:t>
    </w:r>
  </w:p>
  <w:p w14:paraId="0000002E" w14:textId="77777777" w:rsidR="00A81C44" w:rsidRDefault="003344A7">
    <w:pPr>
      <w:spacing w:after="40"/>
      <w:jc w:val="right"/>
    </w:pPr>
    <w:r>
      <w:rPr>
        <w:rFonts w:ascii="Inter Tight" w:eastAsia="Inter Tight" w:hAnsi="Inter Tight" w:cs="Inter Tight"/>
      </w:rPr>
      <w:t>Disciplina: Processos de Engenharia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67A25"/>
    <w:multiLevelType w:val="multilevel"/>
    <w:tmpl w:val="429A9BAA"/>
    <w:lvl w:ilvl="0">
      <w:start w:val="1"/>
      <w:numFmt w:val="bullet"/>
      <w:lvlText w:val="•"/>
      <w:lvlJc w:val="left"/>
      <w:pPr>
        <w:ind w:left="36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914360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C44"/>
    <w:rsid w:val="003344A7"/>
    <w:rsid w:val="00862783"/>
    <w:rsid w:val="00A81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BEC2368-9809-4AC9-8B3B-9EB048F9B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</w:style>
  <w:style w:type="character" w:customStyle="1" w:styleId="TextodecomentrioChar">
    <w:name w:val="Texto de comentário Char"/>
    <w:basedOn w:val="Fontepargpadro"/>
    <w:link w:val="Textodecomentrio"/>
    <w:uiPriority w:val="99"/>
    <w:semiHidden/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p/20RmDnU006sLxdXMot35J7PA==">CgMxLjAaJwoBMBIiCiAIBCocCgtBQUFDRUV5ZkxPbxAIGgtBQUFDRUV5ZkxPbyLrAgoLQUFBQ0VFeWZMT28SuQIKC0FBQUNFRXlmTE9vEgtBQUFDRUV5ZkxPbxowCgl0ZXh0L2h0bWwSI0FsdGVyYXIgcGFyYSBvIHTDrXR1bG8gZGEgYXRpdmlkYWRlIjEKCnRleHQvcGxhaW4SI0FsdGVyYXIgcGFyYSBvIHTDrXR1bG8gZGEgYXRpdmlkYWRlKhsiFTEwOTgyOTgwNTY3MDI2NDk5NDE2MigAOAAw0syv2/ozONLMr9v6M0o/Cgp0ZXh0L3BsYWluEjFEb2N1bWVudG8gUGFkcsOjbyBkZSBFbnRyZWdhIGRlIEF0aXZpZGFkZSBTZW1hbmFsWgx1bmVhZXI3N3h6YTFyAiAAeACaAQYIABAAGACqASUSI0FsdGVyYXIgcGFyYSBvIHTDrXR1bG8gZGEgYXRpdmlkYWRlsAEAuAEAyAEAGNLMr9v6MyDSzK/b+jMwAEIQa2l4LmMwaTBodnNoYjJ4NTIOaC50NWk5enI1bXAydXM4AHIhMUdoRUczaXhabTRyUE9ackZaN0NrUEphZFV3Z19RNG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2453</Words>
  <Characters>13248</Characters>
  <Application>Microsoft Office Word</Application>
  <DocSecurity>0</DocSecurity>
  <Lines>110</Lines>
  <Paragraphs>31</Paragraphs>
  <ScaleCrop>false</ScaleCrop>
  <Company/>
  <LinksUpToDate>false</LinksUpToDate>
  <CharactersWithSpaces>15670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Avila Scharfenberger</cp:lastModifiedBy>
  <cp:revision>2</cp:revision>
  <dcterms:created xsi:type="dcterms:W3CDTF">2026-10-07T17:08:00Z</dcterms:created>
  <dcterms:modified xsi:type="dcterms:W3CDTF">2026-10-07T17:08:00Z</dcterms:modified>
</cp:coreProperties>
</file>