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nterTight-bold.ttf" ContentType="application/x-font-ttf"/>
  <Override PartName="/word/fonts/InterTight-boldItalic.ttf" ContentType="application/x-font-ttf"/>
  <Override PartName="/word/fonts/InterTight-italic.ttf" ContentType="application/x-font-ttf"/>
  <Override PartName="/word/fonts/InterTight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60" w:lineRule="auto"/>
        <w:jc w:val="both"/>
        <w:rPr>
          <w:rFonts w:ascii="Inter Tight" w:cs="Inter Tight" w:eastAsia="Inter Tight" w:hAnsi="Inter Tight"/>
          <w:color w:val="000000"/>
        </w:rPr>
      </w:pPr>
      <w:r>
        <w:t>Entrega de Atividade Semanal - Atividade 08</w:t>
      </w:r>
    </w:p>
    <w:p w:rsidR="00000000" w:rsidDel="00000000" w:rsidP="00000000" w:rsidRDefault="00000000" w:rsidRPr="00000000" w14:paraId="00000002">
      <w:pPr>
        <w:spacing w:after="160" w:lineRule="auto"/>
        <w:jc w:val="both"/>
        <w:rPr>
          <w:rFonts w:ascii="Inter Tight" w:cs="Inter Tight" w:eastAsia="Inter Tight" w:hAnsi="Inter Tight"/>
        </w:rPr>
      </w:pPr>
      <w:r>
        <w:t>Entrega final de Programação Orientada a Objetos — herança, sobrescrita e polimorfismo.</w:t>
      </w:r>
    </w:p>
    <w:p w:rsidR="00000000" w:rsidDel="00000000" w:rsidP="00000000" w:rsidRDefault="00000000" w:rsidRPr="00000000" w14:paraId="00000003">
      <w:pPr>
        <w:pStyle w:val="Heading1"/>
        <w:spacing w:after="160" w:before="320" w:lineRule="auto"/>
        <w:jc w:val="both"/>
        <w:rPr>
          <w:rFonts w:ascii="Inter Tight" w:cs="Inter Tight" w:eastAsia="Inter Tight" w:hAnsi="Inter Tight"/>
          <w:color w:val="000000"/>
          <w:sz w:val="20"/>
          <w:szCs w:val="20"/>
        </w:rPr>
      </w:pPr>
      <w:r w:rsidDel="00000000" w:rsidR="00000000" w:rsidRPr="00000000">
        <w:rPr>
          <w:rFonts w:ascii="Inter Tight" w:cs="Inter Tight" w:eastAsia="Inter Tight" w:hAnsi="Inter Tight"/>
          <w:color w:val="000000"/>
          <w:sz w:val="20"/>
          <w:szCs w:val="20"/>
          <w:rtl w:val="0"/>
        </w:rPr>
        <w:t xml:space="preserve">1. Identificação</w:t>
      </w:r>
    </w:p>
    <w:p w:rsidR="00000000" w:rsidDel="00000000" w:rsidP="00000000" w:rsidRDefault="00000000" w:rsidRPr="00000000" w14:paraId="00000004">
      <w:pPr>
        <w:spacing w:after="160" w:lineRule="auto"/>
        <w:jc w:val="both"/>
        <w:rPr>
          <w:rFonts w:ascii="Inter Tight" w:cs="Inter Tight" w:eastAsia="Inter Tight" w:hAnsi="Inter Tight"/>
        </w:rPr>
      </w:pPr>
      <w:r>
        <w:t>Atividade (código e nome): A8 - Herança, sobrescrita e especialização</w:t>
      </w:r>
    </w:p>
    <w:p w:rsidR="00000000" w:rsidDel="00000000" w:rsidP="00000000" w:rsidRDefault="00000000" w:rsidRPr="00000000" w14:paraId="00000005">
      <w:pPr>
        <w:spacing w:after="160" w:lineRule="auto"/>
        <w:jc w:val="both"/>
        <w:rPr>
          <w:rFonts w:ascii="Inter Tight" w:cs="Inter Tight" w:eastAsia="Inter Tight" w:hAnsi="Inter Tight"/>
        </w:rPr>
      </w:pPr>
      <w:r>
        <w:t>Etapa (AP1 / AP2 / AS): AS - Entrega final</w:t>
      </w:r>
    </w:p>
    <w:p w:rsidR="00000000" w:rsidDel="00000000" w:rsidP="00000000" w:rsidRDefault="00000000" w:rsidRPr="00000000" w14:paraId="00000006">
      <w:pPr>
        <w:spacing w:after="160" w:lineRule="auto"/>
        <w:jc w:val="both"/>
        <w:rPr>
          <w:rFonts w:ascii="Inter Tight" w:cs="Inter Tight" w:eastAsia="Inter Tight" w:hAnsi="Inter Tight"/>
        </w:rPr>
      </w:pPr>
      <w:r>
        <w:t>Equipe: TechFix</w:t>
      </w:r>
    </w:p>
    <w:p w:rsidR="00000000" w:rsidDel="00000000" w:rsidP="00000000" w:rsidRDefault="00000000" w:rsidRPr="00000000" w14:paraId="00000007">
      <w:pPr>
        <w:spacing w:after="160" w:lineRule="auto"/>
        <w:jc w:val="both"/>
        <w:rPr>
          <w:rFonts w:ascii="Inter Tight" w:cs="Inter Tight" w:eastAsia="Inter Tight" w:hAnsi="Inter Tight"/>
        </w:rPr>
      </w:pPr>
      <w:r>
        <w:t>Integrantes: Arthur Scharfenberger e Lucas Oliveira da Silva</w:t>
      </w:r>
    </w:p>
    <w:p w:rsidR="00000000" w:rsidDel="00000000" w:rsidP="00000000" w:rsidRDefault="00000000" w:rsidRPr="00000000" w14:paraId="00000008">
      <w:pPr>
        <w:spacing w:after="160" w:lineRule="auto"/>
        <w:jc w:val="both"/>
        <w:rPr>
          <w:rFonts w:ascii="Inter Tight" w:cs="Inter Tight" w:eastAsia="Inter Tight" w:hAnsi="Inter Tight"/>
        </w:rPr>
      </w:pPr>
      <w:r>
        <w:t>Data de entrega: 28/09/2026</w:t>
      </w:r>
    </w:p>
    <w:p w:rsidR="00000000" w:rsidDel="00000000" w:rsidP="00000000" w:rsidRDefault="00000000" w:rsidRPr="00000000" w14:paraId="00000009">
      <w:pPr>
        <w:pStyle w:val="Heading1"/>
        <w:spacing w:after="160" w:before="320" w:lineRule="auto"/>
        <w:jc w:val="both"/>
        <w:rPr>
          <w:rFonts w:ascii="Inter Tight" w:cs="Inter Tight" w:eastAsia="Inter Tight" w:hAnsi="Inter Tight"/>
          <w:color w:val="000000"/>
          <w:sz w:val="20"/>
          <w:szCs w:val="20"/>
        </w:rPr>
      </w:pPr>
      <w:r w:rsidDel="00000000" w:rsidR="00000000" w:rsidRPr="00000000">
        <w:rPr>
          <w:rFonts w:ascii="Inter Tight" w:cs="Inter Tight" w:eastAsia="Inter Tight" w:hAnsi="Inter Tight"/>
          <w:color w:val="000000"/>
          <w:sz w:val="20"/>
          <w:szCs w:val="20"/>
          <w:rtl w:val="0"/>
        </w:rPr>
        <w:t xml:space="preserve">2. Conteúdo da atividade</w:t>
      </w:r>
    </w:p>
    <w:p w:rsidR="00000000" w:rsidDel="00000000" w:rsidP="00000000" w:rsidRDefault="00000000" w:rsidRPr="00000000" w14:paraId="0000000A">
      <w:pPr>
        <w:spacing w:after="160" w:lineRule="auto"/>
        <w:jc w:val="both"/>
        <w:rPr>
          <w:rFonts w:ascii="Inter Tight" w:cs="Inter Tight" w:eastAsia="Inter Tight" w:hAnsi="Inter Tight"/>
        </w:rPr>
      </w:pPr>
      <w:r/>
    </w:p>
    <w:p w:rsidR="00000000" w:rsidDel="00000000" w:rsidP="00000000" w:rsidRDefault="00000000" w:rsidRPr="00000000" w14:paraId="0000000B">
      <w:pPr>
        <w:spacing w:after="160" w:lineRule="auto"/>
        <w:jc w:val="both"/>
        <w:rPr>
          <w:rFonts w:ascii="Inter Tight" w:cs="Inter Tight" w:eastAsia="Inter Tight" w:hAnsi="Inter Tight"/>
        </w:rPr>
      </w:pPr>
      <w:r>
        <w:rPr>
          <w:b/>
        </w:rPr>
        <w:t>Hierarquia implementada</w:t>
      </w:r>
      <w:r>
        <w:br/>
      </w:r>
      <w:r>
        <w:t>Equipamento foi definido como superclasse abstrata. Notebook e Desktop são as duas subclasses e chamam super(...) para reutilizar as validações de tipo, marca e defeito. Ambas também herdam os getters e exibirDados().</w:t>
      </w:r>
      <w:r>
        <w:br/>
      </w:r>
      <w:r>
        <w:br/>
      </w:r>
      <w:r>
        <w:rPr>
          <w:b/>
        </w:rPr>
        <w:t>Sobrescrita e especialização</w:t>
      </w:r>
      <w:r>
        <w:br/>
      </w:r>
      <w:r>
        <w:t>Notebook e Desktop sobrescrevem descreverAtendimento() com @Override. As implementações chamam super.descreverAtendimento() e acrescentam comportamento específico: quantidade de memória RAM para notebook e configuração de vídeo para desktop.</w:t>
      </w:r>
      <w:r>
        <w:br/>
      </w:r>
      <w:r>
        <w:br/>
      </w:r>
      <w:r>
        <w:rPr>
          <w:b/>
        </w:rPr>
        <w:t>Demonstração em execução</w:t>
      </w:r>
      <w:r>
        <w:br/>
      </w:r>
      <w:r>
        <w:t>O Main percorre uma List&lt;Equipamento&gt; contendo um Notebook e um Desktop. Saída observada:</w:t>
        <w:br/>
        <w:t>Tipo: NOTEBOOK | Marca: Dell | Defeito: Não liga | Especialização: notebook com 16 GB de RAM</w:t>
        <w:br/>
        <w:t>Tipo: DESKTOP | Marca: Dell | Defeito: Sem imagem | Especialização: desktop com placa de vídeo dedicada</w:t>
      </w:r>
      <w:r>
        <w:br/>
      </w:r>
      <w:r>
        <w:br/>
      </w:r>
      <w:r>
        <w:rPr>
          <w:b/>
        </w:rPr>
        <w:t>Testes JUnit</w:t>
      </w:r>
      <w:r>
        <w:br/>
      </w:r>
      <w:r>
        <w:t>EquipamentoTest cobre a especialização de Notebook, a especialização de Desktop, a herança dos dados comuns e a herança da validação de marca nas duas subclasses. Resultado de mvn clean test: 8 testes executados, 0 falhas e 0 erros.</w:t>
      </w:r>
      <w:r>
        <w:br/>
      </w:r>
      <w:r>
        <w:br/>
      </w:r>
      <w:r>
        <w:rPr>
          <w:b/>
        </w:rPr>
        <w:t>Justificativa da herança</w:t>
      </w:r>
      <w:r>
        <w:br/>
      </w:r>
      <w:r>
        <w:t>A herança é adequada porque notebook e desktop são tipos de equipamento recebidos pela assistência técnica. Ambos compartilham identidade, marca, defeito, validações e forma básica de exibição, evitando duplicação na superclasse. Cada subtipo acrescenta seus próprios dados e especializa a descrição do atendimento sem perder o contrato comum de Equipamento.</w:t>
      </w:r>
      <w:r>
        <w:br/>
      </w:r>
      <w:r>
        <w:br/>
      </w:r>
      <w:r>
        <w:rPr>
          <w:b/>
        </w:rPr>
        <w:t>Repositório e documentação</w:t>
      </w:r>
      <w:r>
        <w:br/>
      </w:r>
      <w:r>
        <w:t>https://github.com/ArthurScharfenberger/TechFix-Assistencia-Tecnica</w:t>
        <w:br/>
        <w:t>Documentação: docs/atividade-semanal-08-poo-entrega-final.md</w:t>
      </w:r>
    </w:p>
    <w:p w:rsidR="00000000" w:rsidDel="00000000" w:rsidP="00000000" w:rsidRDefault="00000000" w:rsidRPr="00000000" w14:paraId="0000000C">
      <w:pPr>
        <w:pStyle w:val="Heading1"/>
        <w:spacing w:after="160" w:before="320" w:lineRule="auto"/>
        <w:jc w:val="both"/>
        <w:rPr>
          <w:rFonts w:ascii="Inter Tight" w:cs="Inter Tight" w:eastAsia="Inter Tight" w:hAnsi="Inter Tight"/>
          <w:color w:val="000000"/>
          <w:sz w:val="20"/>
          <w:szCs w:val="20"/>
        </w:rPr>
      </w:pPr>
      <w:r w:rsidDel="00000000" w:rsidR="00000000" w:rsidRPr="00000000">
        <w:rPr>
          <w:rFonts w:ascii="Inter Tight" w:cs="Inter Tight" w:eastAsia="Inter Tight" w:hAnsi="Inter Tight"/>
          <w:color w:val="000000"/>
          <w:sz w:val="20"/>
          <w:szCs w:val="20"/>
          <w:rtl w:val="0"/>
        </w:rPr>
        <w:t xml:space="preserve">3. Decisões e pendências</w:t>
      </w:r>
    </w:p>
    <w:p w:rsidR="00000000" w:rsidDel="00000000" w:rsidP="00000000" w:rsidRDefault="00000000" w:rsidRPr="00000000" w14:paraId="0000000D">
      <w:pPr>
        <w:spacing w:after="160" w:lineRule="auto"/>
        <w:jc w:val="both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Registre as principais decisões tomadas pela equipe nesta etapa e o que ainda está pendente para a próxima entrega.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60"/>
        <w:jc w:val="both"/>
        <w:rPr>
          <w:rFonts w:ascii="Inter Tight" w:cs="Inter Tight" w:eastAsia="Inter Tight" w:hAnsi="Inter Tight"/>
        </w:rPr>
      </w:pPr>
      <w:r>
        <w:t>Decisões tomadas: usar Equipamento como superclasse abstrata e Notebook/Desktop como especializações; manter as validações comuns na superclasse; demonstrar o polimorfismo por uma coleção do tipo Equipamento.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60"/>
        <w:jc w:val="both"/>
        <w:rPr>
          <w:rFonts w:ascii="Inter Tight" w:cs="Inter Tight" w:eastAsia="Inter Tight" w:hAnsi="Inter Tight"/>
        </w:rPr>
      </w:pPr>
      <w:r>
        <w:t>Pendências / próximos passos: nenhuma pendência para os requisitos desta entrega; a equipe deve revisar a ficha e estar preparada para explicar a hierarquia e os testes.</w:t>
      </w:r>
    </w:p>
    <w:p w:rsidR="00000000" w:rsidDel="00000000" w:rsidP="00000000" w:rsidRDefault="00000000" w:rsidRPr="00000000" w14:paraId="00000010">
      <w:pPr>
        <w:pStyle w:val="Heading1"/>
        <w:spacing w:after="160" w:before="320" w:lineRule="auto"/>
        <w:jc w:val="both"/>
        <w:rPr>
          <w:rFonts w:ascii="Inter Tight" w:cs="Inter Tight" w:eastAsia="Inter Tight" w:hAnsi="Inter Tight"/>
          <w:color w:val="000000"/>
          <w:sz w:val="20"/>
          <w:szCs w:val="20"/>
        </w:rPr>
      </w:pPr>
      <w:r w:rsidDel="00000000" w:rsidR="00000000" w:rsidRPr="00000000">
        <w:rPr>
          <w:rFonts w:ascii="Inter Tight" w:cs="Inter Tight" w:eastAsia="Inter Tight" w:hAnsi="Inter Tight"/>
          <w:color w:val="000000"/>
          <w:sz w:val="20"/>
          <w:szCs w:val="20"/>
          <w:rtl w:val="0"/>
        </w:rPr>
        <w:t xml:space="preserve">4. Declaração de uso de Inteligência Artificial</w:t>
      </w:r>
    </w:p>
    <w:p w:rsidR="00000000" w:rsidDel="00000000" w:rsidP="00000000" w:rsidRDefault="00000000" w:rsidRPr="00000000" w14:paraId="00000011">
      <w:pPr>
        <w:spacing w:after="160" w:lineRule="auto"/>
        <w:jc w:val="both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Conforme o </w:t>
      </w:r>
      <w:hyperlink r:id="rId9">
        <w:r w:rsidDel="00000000" w:rsidR="00000000" w:rsidRPr="00000000">
          <w:rPr>
            <w:rFonts w:ascii="Inter Tight" w:cs="Inter Tight" w:eastAsia="Inter Tight" w:hAnsi="Inter Tight"/>
            <w:color w:val="1155cc"/>
            <w:u w:val="single"/>
            <w:rtl w:val="0"/>
          </w:rPr>
          <w:t xml:space="preserve">Manual da Disciplina</w:t>
        </w:r>
      </w:hyperlink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 (seção 6 — Uso de Inteligência Artificial), toda utilização relevante de IA no desenvolvimento desta atividade deve ser declarada abaixo e também registrada no arquivo DEVLOG.md do repositório do projeto. Se a equipe não utilizou IA nesta atividade, marque a opção correspondente e não é necessário preencher a tabela.</w:t>
      </w:r>
    </w:p>
    <w:p w:rsidR="00000000" w:rsidDel="00000000" w:rsidP="00000000" w:rsidRDefault="00000000" w:rsidRPr="00000000" w14:paraId="00000012">
      <w:pPr>
        <w:spacing w:after="200" w:before="120" w:lineRule="auto"/>
        <w:jc w:val="both"/>
        <w:rPr>
          <w:rFonts w:ascii="Inter Tight" w:cs="Inter Tight" w:eastAsia="Inter Tight" w:hAnsi="Inter Tight"/>
        </w:rPr>
      </w:pPr>
      <w:r>
        <w:t>( ) A equipe não utilizou ferramentas de IA nesta atividade.</w:t>
      </w:r>
    </w:p>
    <w:p w:rsidR="00000000" w:rsidDel="00000000" w:rsidP="00000000" w:rsidRDefault="00000000" w:rsidRPr="00000000" w14:paraId="00000013">
      <w:pPr>
        <w:spacing w:after="200" w:lineRule="auto"/>
        <w:jc w:val="both"/>
        <w:rPr>
          <w:rFonts w:ascii="Inter Tight" w:cs="Inter Tight" w:eastAsia="Inter Tight" w:hAnsi="Inter Tight"/>
        </w:rPr>
      </w:pPr>
      <w:r>
        <w:t>(X) A equipe utilizou ferramentas de IA nesta atividade — declaração abaixo.</w:t>
      </w:r>
    </w:p>
    <w:tbl>
      <w:tblPr>
        <w:tblStyle w:val="Table1"/>
        <w:tblW w:w="9645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000"/>
      </w:tblPr>
      <w:tblGrid>
        <w:gridCol w:w="1545"/>
        <w:gridCol w:w="2055"/>
        <w:gridCol w:w="3045"/>
        <w:gridCol w:w="3000"/>
        <w:tblGridChange w:id="0">
          <w:tblGrid>
            <w:gridCol w:w="1545"/>
            <w:gridCol w:w="2055"/>
            <w:gridCol w:w="3045"/>
            <w:gridCol w:w="3000"/>
          </w:tblGrid>
        </w:tblGridChange>
      </w:tblGrid>
      <w:tr>
        <w:trPr>
          <w:cantSplit w:val="0"/>
          <w:tblHeader w:val="1"/>
        </w:trPr>
        <w:tc>
          <w:tcPr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Fonts w:ascii="Inter Tight" w:cs="Inter Tight" w:eastAsia="Inter Tight" w:hAnsi="Inter Tight"/>
                <w:b w:val="1"/>
                <w:bCs w:val="1"/>
                <w:rtl w:val="0"/>
              </w:rPr>
              <w:t xml:space="preserve">Data e ferramenta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Fonts w:ascii="Inter Tight" w:cs="Inter Tight" w:eastAsia="Inter Tight" w:hAnsi="Inter Tight"/>
                <w:b w:val="1"/>
                <w:bCs w:val="1"/>
                <w:rtl w:val="0"/>
              </w:rPr>
              <w:t xml:space="preserve">Objetivo do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Fonts w:ascii="Inter Tight" w:cs="Inter Tight" w:eastAsia="Inter Tight" w:hAnsi="Inter Tight"/>
                <w:b w:val="1"/>
                <w:bCs w:val="1"/>
                <w:rtl w:val="0"/>
              </w:rPr>
              <w:t xml:space="preserve">Prompt ou resumo da interação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Fonts w:ascii="Inter Tight" w:cs="Inter Tight" w:eastAsia="Inter Tight" w:hAnsi="Inter Tight"/>
                <w:b w:val="1"/>
                <w:bCs w:val="1"/>
                <w:rtl w:val="0"/>
              </w:rPr>
              <w:t xml:space="preserve">Resultado aproveitado / rejeitado / modificado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>
            <w:r>
              <w:t>28/09/2026 — OpenAI Codex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>
            <w:r>
              <w:t>Apoio à revisão da hierarquia, testes, documentação e preenchimento da ficha.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>
            <w:r>
              <w:t>Revisar o trabalho anterior, completar duas subclasses com herança e sobrescrita, demonstrar a execução, testar, documentar e preencher a ficha padrão.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>
            <w:r>
              <w:t>Sugestões adaptadas e verificadas por compilação, 8 testes JUnit e execução do Main.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160" w:lineRule="auto"/>
        <w:jc w:val="both"/>
        <w:rPr>
          <w:rFonts w:ascii="Inter Tight" w:cs="Inter Tight" w:eastAsia="Inter Tight" w:hAnsi="Inter T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Rule="auto"/>
        <w:jc w:val="both"/>
        <w:rPr>
          <w:rFonts w:ascii="Inter Tight" w:cs="Inter Tight" w:eastAsia="Inter Tight" w:hAnsi="Inter Tight"/>
        </w:rPr>
      </w:pPr>
      <w:r>
        <w:t>Forma de verificação adotada pela equipe: revisão do diff, mvn clean test e execução de java -cp target/classes Main.</w:t>
      </w:r>
    </w:p>
    <w:p w:rsidR="00000000" w:rsidDel="00000000" w:rsidP="00000000" w:rsidRDefault="00000000" w:rsidRPr="00000000" w14:paraId="00000026">
      <w:pPr>
        <w:spacing w:after="160" w:lineRule="auto"/>
        <w:jc w:val="both"/>
        <w:rPr>
          <w:rFonts w:ascii="Inter Tight" w:cs="Inter Tight" w:eastAsia="Inter Tight" w:hAnsi="Inter Tight"/>
        </w:rPr>
      </w:pPr>
      <w:r>
        <w:t>Responsável pela decisão final sobre o uso: Arthur Scharfenberger e Lucas Oliveira da Silva.</w:t>
      </w:r>
    </w:p>
    <w:p w:rsidR="00000000" w:rsidDel="00000000" w:rsidP="00000000" w:rsidRDefault="00000000" w:rsidRPr="00000000" w14:paraId="00000027">
      <w:pPr>
        <w:pStyle w:val="Heading1"/>
        <w:spacing w:after="160" w:before="320" w:lineRule="auto"/>
        <w:jc w:val="both"/>
        <w:rPr>
          <w:rFonts w:ascii="Inter Tight" w:cs="Inter Tight" w:eastAsia="Inter Tight" w:hAnsi="Inter Tight"/>
          <w:color w:val="000000"/>
          <w:sz w:val="20"/>
          <w:szCs w:val="20"/>
        </w:rPr>
      </w:pPr>
      <w:r w:rsidDel="00000000" w:rsidR="00000000" w:rsidRPr="00000000">
        <w:rPr>
          <w:rFonts w:ascii="Inter Tight" w:cs="Inter Tight" w:eastAsia="Inter Tight" w:hAnsi="Inter Tight"/>
          <w:color w:val="000000"/>
          <w:sz w:val="20"/>
          <w:szCs w:val="20"/>
          <w:rtl w:val="0"/>
        </w:rPr>
        <w:t xml:space="preserve">5. Responsabilidade e autoria</w:t>
      </w:r>
    </w:p>
    <w:p w:rsidR="00000000" w:rsidDel="00000000" w:rsidP="00000000" w:rsidRDefault="00000000" w:rsidRPr="00000000" w14:paraId="00000028">
      <w:pPr>
        <w:spacing w:after="160" w:lineRule="auto"/>
        <w:jc w:val="both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A equipe declara que este documento foi lido, compreendido e validado por todos os integrantes, que respondem integralmente pela correção, coerência, legalidade e autoria do conteúdo entregue. Qualquer integrante poderá ser questionado, em apresentação, sobre partes produzidas com apoio de IA.</w:t>
      </w:r>
    </w:p>
    <w:p w:rsidR="00000000" w:rsidDel="00000000" w:rsidP="00000000" w:rsidRDefault="00000000" w:rsidRPr="00000000" w14:paraId="00000029">
      <w:pPr>
        <w:spacing w:before="200" w:lineRule="auto"/>
        <w:jc w:val="both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Assinatura (nomes por extenso):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lineRule="auto"/>
        <w:jc w:val="both"/>
        <w:rPr>
          <w:rFonts w:ascii="Inter Tight" w:cs="Inter Tight" w:eastAsia="Inter Tight" w:hAnsi="Inter Tight"/>
        </w:rPr>
      </w:pPr>
      <w:r>
        <w:t>Arthur Scharfenberger</w:t>
      </w:r>
    </w:p>
    <w:p w:rsidR="00000000" w:rsidDel="00000000" w:rsidP="00000000" w:rsidRDefault="00000000" w:rsidRPr="00000000" w14:paraId="0000002B">
      <w:pPr>
        <w:spacing w:after="60" w:lineRule="auto"/>
        <w:jc w:val="both"/>
        <w:rPr>
          <w:rFonts w:ascii="Inter Tight" w:cs="Inter Tight" w:eastAsia="Inter Tight" w:hAnsi="Inter Tight"/>
        </w:rPr>
      </w:pPr>
      <w:r>
        <w:t>Lucas Oliveira da Silva</w:t>
      </w:r>
    </w:p>
    <w:p w:rsidR="00000000" w:rsidDel="00000000" w:rsidP="00000000" w:rsidRDefault="00000000" w:rsidRPr="00000000" w14:paraId="0000002C">
      <w:pPr>
        <w:jc w:val="both"/>
        <w:rPr>
          <w:rFonts w:ascii="Inter Tight" w:cs="Inter Tight" w:eastAsia="Inter Tight" w:hAnsi="Inter Tight"/>
        </w:rPr>
      </w:pPr>
      <w:r/>
    </w:p>
    <w:sectPr>
      <w:headerReference r:id="rId10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Caroline Pacheco da Rosa" w:id="0" w:date="2026-07-29T01:10:03Z"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Alterar para o título da atividade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2F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Inter T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spacing w:after="40" w:lineRule="auto"/>
      <w:jc w:val="right"/>
      <w:rPr>
        <w:rFonts w:ascii="Inter Tight" w:cs="Inter Tight" w:eastAsia="Inter Tight" w:hAnsi="Inter Tight"/>
      </w:rPr>
    </w:pPr>
    <w:r w:rsidDel="00000000" w:rsidR="00000000" w:rsidRPr="00000000">
      <w:rPr>
        <w:rFonts w:ascii="Inter Tight" w:cs="Inter Tight" w:eastAsia="Inter Tight" w:hAnsi="Inter Tight"/>
        <w:rtl w:val="0"/>
      </w:rPr>
      <w:t xml:space="preserve">ULBRA — Universidade Luterana do Brasil</w:t>
    </w:r>
  </w:p>
  <w:p w:rsidR="00000000" w:rsidDel="00000000" w:rsidP="00000000" w:rsidRDefault="00000000" w:rsidRPr="00000000" w14:paraId="0000002E">
    <w:pPr>
      <w:spacing w:after="40" w:lineRule="auto"/>
      <w:jc w:val="right"/>
      <w:rPr/>
    </w:pPr>
    <w:r w:rsidDel="00000000" w:rsidR="00000000" w:rsidRPr="00000000">
      <w:rPr>
        <w:rFonts w:ascii="Inter Tight" w:cs="Inter Tight" w:eastAsia="Inter Tight" w:hAnsi="Inter Tight"/>
        <w:rtl w:val="0"/>
      </w:rPr>
      <w:t xml:space="preserve">Disciplina: Processos de Engenharia de Software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header" Target="header1.xml"/><Relationship Id="rId9" Type="http://schemas.openxmlformats.org/officeDocument/2006/relationships/hyperlink" Target="https://docs.google.com/document/d/14aYzEAxTHf3aXUwWF7M-ru4WBCxaJEpA/edit?usp=sharing&amp;ouid=109829805670264994162&amp;rtpof=true&amp;sd=true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InterTight-regular.ttf"/><Relationship Id="rId2" Type="http://schemas.openxmlformats.org/officeDocument/2006/relationships/font" Target="fonts/InterTight-bold.ttf"/><Relationship Id="rId3" Type="http://schemas.openxmlformats.org/officeDocument/2006/relationships/font" Target="fonts/InterTight-italic.ttf"/><Relationship Id="rId4" Type="http://schemas.openxmlformats.org/officeDocument/2006/relationships/font" Target="fonts/InterT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p/20RmDnU006sLxdXMot35J7PA==">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