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TechFix — Esboço da arquitetura e início da matriz de rastreabilidade</w:t>
      </w:r>
    </w:p>
    <w:p>
      <w:r>
        <w:t>Disciplina: Processos de Engenharia de Software</w:t>
      </w:r>
    </w:p>
    <w:p>
      <w:r>
        <w:t>Equipe: Arthur Scharfenberger e Lucas Oliveira da Silva</w:t>
      </w:r>
    </w:p>
    <w:p>
      <w:r>
        <w:t>Preparação: 30/09/2026</w:t>
      </w:r>
    </w:p>
    <w:p>
      <w:r>
        <w:t>Entrega: rascunho da oficina; código e etapa conforme o AVA.</w:t>
      </w:r>
    </w:p>
    <w:p>
      <w:pPr>
        <w:pStyle w:val="Heading2"/>
      </w:pPr>
      <w:r>
        <w:t>1. Objetivo e fontes</w:t>
      </w:r>
    </w:p>
    <w:p>
      <w:r>
        <w:t>Organizar os componentes principais do TechFix e relacionar requisitos às necessidades da entrevista e aos artefatos de modelagem e arquitetura.</w:t>
      </w:r>
    </w:p>
    <w:p>
      <w:r>
        <w:t>Base consultada: docs/Atividade04.md (requisitos e pontos RE1–RE5 da entrevista A3), A8-Entrega-Final-Revisada.md (backlog) e Modelagem-Entrega-Final.md (fluxograma e wireframe). Os arquivos de modelagem são usados como referência para a A9 mencionada no enunciado; seu código ainda precisa ser confirmado. Não foi localizado um artefato identificado como A7 nem a transcrição original da entrevista A3 de Processos. As origens abaixo são paráfrases registradas na A4, não citações diretas da entrevista. O arquivo docs/atividade-semanal-03.md pertence à atividade de POO e não é a entrevista.</w:t>
      </w:r>
    </w:p>
    <w:p>
      <w:pPr>
        <w:pStyle w:val="Heading2"/>
      </w:pPr>
      <w:r>
        <w:t>2. Esboço da arquitetura conceitual</w:t>
      </w:r>
    </w:p>
    <w:p>
      <w:r>
        <w:t>Proposta: aplicação organizada em interface, lógica de negócio e armazenamento. Atendentes, técnicos e administradores utilizam a interface; as operações seguem para o servidor, que verifica permissões, aplica regras e acessa os dados.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3475"/>
          </w:tcPr>
          <w:p>
            <w:r>
              <w:rPr>
                <w:b/>
                <w:sz w:val="16"/>
              </w:rPr>
              <w:t>Responsabilidade</w:t>
            </w:r>
          </w:p>
        </w:tc>
        <w:tc>
          <w:tcPr>
            <w:tcW w:type="dxa" w:w="3475"/>
          </w:tcPr>
          <w:p>
            <w:r>
              <w:rPr>
                <w:b/>
                <w:sz w:val="16"/>
              </w:rPr>
              <w:t>Comunicação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6"/>
              </w:rPr>
              <w:t>C1 — Interface web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Exibir cadastro de cliente/equipamento, abertura, consulta e atualização de OS; apresentar erros e confirmações.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Envia solicitações à API de C2 e apresenta as respostas.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6"/>
              </w:rPr>
              <w:t>C2 — API e lógica de negócio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Receber operações; validar dados e vínculo cliente/equipamento; gerar número e data da OS; controlar estados, responsável e histórico.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Consulta C3 para autorização e usa C4 para ler/gravar dados.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6"/>
              </w:rPr>
              <w:t>C3 — Autenticação e autorização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Identificar o usuário e verificar permissões de atendente, técnico e administrador.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Atua no servidor antes de cada operação protegida; consulta usuários e perfis por C4.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6"/>
              </w:rPr>
              <w:t>C4 — Persistência e banco de dados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Armazenar clientes, equipamentos, OS, técnicos, usuários/perfis e eventos do histórico.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Recebe consultas e gravações de C2/C3; retorna dados ou falha.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6"/>
              </w:rPr>
              <w:t>Integrações externas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Nenhuma necessária para os requisitos deste esboço.</w:t>
            </w:r>
          </w:p>
        </w:tc>
        <w:tc>
          <w:tcPr>
            <w:tcW w:type="dxa" w:w="3475"/>
          </w:tcPr>
          <w:p>
            <w:r>
              <w:rPr>
                <w:b w:val="0"/>
                <w:sz w:val="16"/>
              </w:rPr>
              <w:t>E-mail, WhatsApp e pagamentos ficam fora desta proposta até existir requisito aprovado.</w:t>
            </w:r>
          </w:p>
        </w:tc>
      </w:tr>
    </w:tbl>
    <w:p>
      <w:r>
        <w:t>Caminho principal: usuário → C1 → C2 → C4; o resultado retorna de C4 para C2 e C1. C2 verifica a autorização em C3 antes de executar a operação. A interface não acessa diretamente o banco.</w:t>
      </w:r>
    </w:p>
    <w:p>
      <w:r>
        <w:t>Comunicação proposta: C1 e C2 trocam solicitações e respostas por uma API HTTP com JSON; em implantação, usar HTTPS. C2/C3 acessam C4 por uma camada de persistência. A escolha do framework e do banco fica para o detalhamento. Os componentes podem pertencer a uma única aplicação no servidor, sem necessidade de serviços separados.</w:t>
      </w:r>
    </w:p>
    <w:p>
      <w:pPr>
        <w:pStyle w:val="Heading3"/>
      </w:pPr>
      <w:r>
        <w:t>Exemplo: abrir uma ordem de serviço</w:t>
      </w:r>
    </w:p>
    <w:p>
      <w:pPr>
        <w:pStyle w:val="ListNumber"/>
      </w:pPr>
      <w:r>
        <w:t>O atendente seleciona ou cadastra cliente e equipamento na interface (C1).</w:t>
      </w:r>
    </w:p>
    <w:p>
      <w:pPr>
        <w:pStyle w:val="ListNumber"/>
      </w:pPr>
      <w:r>
        <w:t>A API recebe a solicitação (C2) e verifica identidade e permissão (C3).</w:t>
      </w:r>
    </w:p>
    <w:p>
      <w:pPr>
        <w:pStyle w:val="ListNumber"/>
      </w:pPr>
      <w:r>
        <w:t>C2 valida campos obrigatórios e se o equipamento pertence ao cliente.</w:t>
      </w:r>
    </w:p>
    <w:p>
      <w:pPr>
        <w:pStyle w:val="ListNumber"/>
      </w:pPr>
      <w:r>
        <w:t>C2 gera número único, data/hora e estado ABERTA; C4 grava a OS e seu evento inicial de histórico na mesma transação.</w:t>
      </w:r>
    </w:p>
    <w:p>
      <w:pPr>
        <w:pStyle w:val="ListNumber"/>
      </w:pPr>
      <w:r>
        <w:t>Após a gravação, C1 apresenta o protocolo. Se ocorrer falha, informa o problema e mantém os dados do formulário para nova tentativa.</w:t>
      </w:r>
    </w:p>
    <w:p>
      <w:r>
        <w:t>O técnico pode ser atribuído depois da abertura, conforme a modelagem existente. Na evolução do atendimento, C2 exige responsável para iniciar o serviço e controla o ciclo ABERTA → EM ATENDIMENTO → CONCLUÍDA, impedindo regressão após a conclusão.</w:t>
      </w:r>
    </w:p>
    <w:p>
      <w:pPr>
        <w:pStyle w:val="Heading3"/>
      </w:pPr>
      <w:r>
        <w:t>Relação com o projeto atual</w:t>
      </w:r>
    </w:p>
    <w:p>
      <w:r>
        <w:t>O frontend TypeScript/Vite utiliza armazenamento local no navegador. As classes Java representam parte do domínio e executam separadamente. API, autenticação no servidor, banco e integração entre frontend e Java são componentes propostos, ainda não implementados. O esboço não declara essas funcionalidades como prontas.</w:t>
      </w:r>
    </w:p>
    <w:p>
      <w:pPr>
        <w:pStyle w:val="Heading2"/>
      </w:pPr>
      <w:r>
        <w:t>3. Início da matriz de rastreabilidade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Origem na entrevista A3, conforme A4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Item da A8 revisada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Artefato gerado a partir do requisito</w:t>
            </w:r>
          </w:p>
        </w:tc>
        <w:tc>
          <w:tcPr>
            <w:tcW w:type="dxa" w:w="2085"/>
          </w:tcPr>
          <w:p>
            <w:r>
              <w:rPr>
                <w:b/>
                <w:sz w:val="16"/>
              </w:rPr>
              <w:t>Componente responsável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6"/>
              </w:rPr>
              <w:t>RF1 — Cadastrar clientes e equipamentos com os dados necessários ao atendimento.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RE1: atendente utiliza papel/planilhas e precisa registrar dados de cliente e equipamento.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A8R02 — Cadastrar cliente e equipamento vinculado.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Modelagem: fluxograma, etapa de seleção/cadastro; wireframe Nova OS, campos e cadastro rápido de cliente/equipamento.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C1 apresenta o cadastro; C2 valida dados e vínculo; C4 persiste os registros.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6"/>
              </w:rPr>
              <w:t>RF2 — Criar e acompanhar OS, com status e técnico responsável.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RE2: cada atendimento precisa de OS com status definido e técnico responsável.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A8R03 — Abrir OS; A8R06 — Atribuir técnico e iniciar atendimento; A8R07 — Concluir atendimento.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Modelagem: fluxograma de abertura e wireframe Nova OS cobrem A8R03. Este esboço atribui a C2 o controle de responsável e estados de A8R06/A8R07, ainda sem modelo de tela específico.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C1 recebe ações; C2 cria a OS e controla seu ciclo; C4 grava OS e eventos.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6"/>
              </w:rPr>
              <w:t>RNF2 — Bloquear acesso sem permissão a dados administrativos e valores.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RE4: dados administrativos e valores não devem ficar disponíveis a todos os usuários.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A8R01 — Acesso por perfil.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Modelagem: decisão de autorização no fluxograma. Arquitetura: C3 verifica permissões no servidor, inclusive em solicitações diretas à API.</w:t>
            </w:r>
          </w:p>
        </w:tc>
        <w:tc>
          <w:tcPr>
            <w:tcW w:type="dxa" w:w="2085"/>
          </w:tcPr>
          <w:p>
            <w:r>
              <w:rPr>
                <w:b w:val="0"/>
                <w:sz w:val="16"/>
              </w:rPr>
              <w:t>C3 verifica acesso; C2 aplica a decisão antes de consultar ou alterar dados.</w:t>
            </w:r>
          </w:p>
        </w:tc>
      </w:tr>
    </w:tbl>
    <w:p>
      <w:r>
        <w:t>Localização dos modelos: Modelagem-Entrega-Final.md, seções 2.2 e 2.3; imagens final-fluxograma.png e final-wireframe.png, nesta mesma pasta. Os IDs RF1, RF2, RNF2 e RE1/RE2/RE4 foram preservados da A4; os IDs A8R pertencem à revisão da A8.</w:t>
      </w:r>
    </w:p>
    <w:p>
      <w:pPr>
        <w:pStyle w:val="Heading2"/>
      </w:pPr>
      <w:r>
        <w:t>4. Decisões e pendências</w:t>
      </w:r>
    </w:p>
    <w:p>
      <w:pPr>
        <w:pStyle w:val="ListBullet"/>
      </w:pPr>
      <w:r>
        <w:t>Manter cadastro e abertura de OS como foco inicial, coerente com A8R02/A8R03 e os modelos existentes.</w:t>
      </w:r>
    </w:p>
    <w:p>
      <w:pPr>
        <w:pStyle w:val="ListBullet"/>
      </w:pPr>
      <w:r>
        <w:t>Centralizar validações e permissões no servidor; gravar OS e evento inicial juntos.</w:t>
      </w:r>
    </w:p>
    <w:p>
      <w:pPr>
        <w:pStyle w:val="ListBullet"/>
      </w:pPr>
      <w:r>
        <w:t>Completar a matriz com RF3, RN1, RNF1 e histórias de usuário na próxima etapa.</w:t>
      </w:r>
    </w:p>
    <w:p>
      <w:pPr>
        <w:pStyle w:val="ListBullet"/>
      </w:pPr>
      <w:r>
        <w:t>Conferir a entrevista A3 original e o artefato A7 quando disponíveis, confirmar a identificação da A9 e detalhar tecnologia de persistência e permissões por operação.</w:t>
      </w:r>
    </w:p>
    <w:p>
      <w:pPr>
        <w:pStyle w:val="Heading2"/>
      </w:pPr>
      <w:r>
        <w:t>5. Uso de inteligência artificial</w:t>
      </w:r>
    </w:p>
    <w:p>
      <w:r>
        <w:t>ChatGPT/Codex auxiliou na elaboração deste rascunho em 30/09/2026, a partir do enunciado e dos documentos locais. Foram conferidos os IDs, os vínculos registrados na A4 e a coerência com o backlog e a modelagem. A revisão final pelos integrantes permanece pendente. Uso registrado também em DEVLOG.md.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