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RÉPUBLIQUE FRANÇAISE</w:t>
      </w:r>
    </w:p>
    <w:p>
      <w:pPr>
        <w:jc w:val="center"/>
      </w:pPr>
      <w:r>
        <w:rPr>
          <w:i/>
          <w:sz w:val="20"/>
        </w:rPr>
        <w:t>Liberté - Égalité - Fraternité</w:t>
      </w:r>
    </w:p>
    <w:p/>
    <w:p>
      <w:pPr>
        <w:jc w:val="center"/>
      </w:pPr>
      <w:r>
        <w:rPr>
          <w:b/>
          <w:sz w:val="26"/>
        </w:rPr>
        <w:t>COMMUNE DE {{commune_nom}}</w:t>
      </w:r>
    </w:p>
    <w:p>
      <w:pPr>
        <w:jc w:val="center"/>
      </w:pPr>
      <w:r>
        <w:rPr>
          <w:sz w:val="22"/>
        </w:rPr>
        <w:t>Département de {{departement_nom}}</w:t>
      </w:r>
    </w:p>
    <w:p/>
    <w:p>
      <w:pPr>
        <w:jc w:val="center"/>
      </w:pPr>
      <w:r>
        <w:rPr>
          <w:b/>
          <w:sz w:val="28"/>
          <w:u w:val="single"/>
        </w:rPr>
        <w:t>ARRÊTÉ DE VOIRIE N° {{numero_arrete}}</w:t>
      </w:r>
    </w:p>
    <w:p/>
    <w:p>
      <w:pPr>
        <w:spacing w:after="40"/>
      </w:pPr>
      <w:r>
        <w:t>VU le Code général des collectivités territoriales, notamment les articles L.2213-1 à L.2213-6 ;</w:t>
      </w:r>
    </w:p>
    <w:p>
      <w:pPr>
        <w:spacing w:after="40"/>
      </w:pPr>
      <w:r>
        <w:t>VU le Code de la route, notamment les articles R.411-5, R.411-8, R.411-18, R.411-25 à R.411-28 ;</w:t>
      </w:r>
    </w:p>
    <w:p>
      <w:pPr>
        <w:spacing w:after="40"/>
      </w:pPr>
      <w:r>
        <w:t>VU l'arrêté interministériel du 24 novembre 1967 relatif à la signalisation des routes et des autoroutes ;</w:t>
      </w:r>
    </w:p>
    <w:p>
      <w:pPr>
        <w:spacing w:after="40"/>
      </w:pPr>
      <w:r>
        <w:t>VU l'instruction interministérielle sur la signalisation routière ;</w:t>
      </w:r>
    </w:p>
    <w:p>
      <w:pPr>
        <w:spacing w:after="40"/>
      </w:pPr>
      <w:r>
        <w:t>VU le pouvoir de police du maire en matière de circulation et de stationnement ;</w:t>
      </w:r>
    </w:p>
    <w:p/>
    <w:p>
      <w:pPr>
        <w:spacing w:after="40"/>
      </w:pPr>
      <w:r>
        <w:t>CONSIDÉRANT que des travaux de {{nature_travaux}} doivent être réalisés sur la voie {{rue_nom}}, entre le n° {{numero_debut}} et le n° {{numero_fin}} ;</w:t>
      </w:r>
    </w:p>
    <w:p>
      <w:pPr>
        <w:spacing w:after="40"/>
      </w:pPr>
      <w:r>
        <w:t>CONSIDÉRANT qu'il convient, pour la sécurité des usagers de la voie publique et des personnels de chantier, de réglementer temporairement la circulation et le stationnement ;</w:t>
      </w:r>
    </w:p>
    <w:p>
      <w:pPr>
        <w:spacing w:after="40"/>
      </w:pPr>
      <w:r>
        <w:t>CONSIDÉRANT la demande présentée par {{demandeur_nom}} en date du {{date_demande}} ;</w:t>
      </w:r>
    </w:p>
    <w:p/>
    <w:p>
      <w:r>
        <w:rPr>
          <w:b/>
          <w:sz w:val="26"/>
        </w:rPr>
        <w:t>ARRÊTE :</w:t>
      </w:r>
    </w:p>
    <w:p/>
    <w:p>
      <w:r>
        <w:rPr>
          <w:b/>
          <w:u w:val="single"/>
        </w:rPr>
        <w:t>Article 1er – Objet</w:t>
      </w:r>
    </w:p>
    <w:p>
      <w:r>
        <w:t>À compter du {{date_debut}} jusqu'au {{date_fin}} inclus, la circulation sera {{type_restriction}} sur la voie {{rue_nom}}, entre le n° {{numero_debut}} et le n° {{numero_fin}}, pour permettre l'exécution de travaux de {{nature_travaux}}.</w:t>
      </w:r>
    </w:p>
    <w:p>
      <w:r>
        <w:rPr>
          <w:b/>
          <w:u w:val="single"/>
        </w:rPr>
        <w:t>Article 2 – Déviation</w:t>
      </w:r>
    </w:p>
    <w:p>
      <w:r>
        <w:t>Une déviation sera mise en place via {{itineraire_deviation}}. La signalisation de déviation sera conforme aux dispositions réglementaires en vigueur.</w:t>
      </w:r>
    </w:p>
    <w:p>
      <w:r>
        <w:rPr>
          <w:b/>
          <w:u w:val="single"/>
        </w:rPr>
        <w:t>Article 3 – Stationnement</w:t>
      </w:r>
    </w:p>
    <w:p>
      <w:r>
        <w:t>Le stationnement est interdit sur la zone de travaux et sur {{zone_stationnement_interdit}} pendant toute la durée des travaux, sauf pour les véhicules de chantier dûment autorisés.</w:t>
      </w:r>
    </w:p>
    <w:p>
      <w:r>
        <w:rPr>
          <w:b/>
          <w:u w:val="single"/>
        </w:rPr>
        <w:t>Article 4 – Vitesse</w:t>
      </w:r>
    </w:p>
    <w:p>
      <w:r>
        <w:t>La vitesse est limitée à {{vitesse_limitee}} km/h dans la zone de chantier.</w:t>
      </w:r>
    </w:p>
    <w:p>
      <w:r>
        <w:rPr>
          <w:b/>
          <w:u w:val="single"/>
        </w:rPr>
        <w:t>Article 5 – Signalisation</w:t>
      </w:r>
    </w:p>
    <w:p>
      <w:r>
        <w:t>L'entreprise {{entreprise_nom}} est chargée de la fourniture, de la mise en place et de l'entretien de la signalisation temporaire conformément à l'instruction interministérielle sur la signalisation routière.</w:t>
      </w:r>
    </w:p>
    <w:p>
      <w:r>
        <w:rPr>
          <w:b/>
          <w:u w:val="single"/>
        </w:rPr>
        <w:t>Article 6 – Publication</w:t>
      </w:r>
    </w:p>
    <w:p>
      <w:r>
        <w:t>Le présent arrêté sera affiché aux extrémités de la zone réglementée et publié au recueil des actes administratifs de la commune.</w:t>
      </w:r>
    </w:p>
    <w:p>
      <w:r>
        <w:rPr>
          <w:b/>
          <w:u w:val="single"/>
        </w:rPr>
        <w:t>Article 7 – Recours</w:t>
      </w:r>
    </w:p>
    <w:p>
      <w:r>
        <w:t>Le présent arrêté peut faire l'objet d'un recours contentieux devant le tribunal administratif de {{tribunal_administratif}} dans un délai de deux mois à compter de sa publication ou de sa notification.</w:t>
      </w:r>
    </w:p>
    <w:p>
      <w:r>
        <w:rPr>
          <w:b/>
          <w:u w:val="single"/>
        </w:rPr>
        <w:t>Article 8 – Exécution</w:t>
      </w:r>
    </w:p>
    <w:p>
      <w:r>
        <w:t>Le secrétaire général de la mairie, le commandant de la brigade de gendarmerie et tout agent de la force publique sont chargés, chacun en ce qui le concerne, de l'exécution du présent arrêté.</w:t>
      </w:r>
    </w:p>
    <w:p/>
    <w:p>
      <w:pPr>
        <w:jc w:val="left"/>
      </w:pPr>
      <w:r>
        <w:t>Fait à {{commune_nom}}, le {{date_signature}}</w:t>
      </w:r>
    </w:p>
    <w:p/>
    <w:p>
      <w:pPr>
        <w:jc w:val="right"/>
      </w:pPr>
      <w:r>
        <w:rPr>
          <w:b/>
        </w:rPr>
        <w:t>Le Maire,</w:t>
      </w:r>
    </w:p>
    <w:p>
      <w:pPr>
        <w:jc w:val="right"/>
      </w:pPr>
      <w:r>
        <w:t>{{maire_nom}}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