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RÉPUBLIQUE FRANÇAISE</w:t>
      </w:r>
    </w:p>
    <w:p>
      <w:pPr>
        <w:jc w:val="center"/>
      </w:pPr>
      <w:r>
        <w:rPr>
          <w:i/>
          <w:sz w:val="20"/>
        </w:rPr>
        <w:t>Liberté - Égalité - Fraternité</w:t>
      </w:r>
    </w:p>
    <w:p/>
    <w:p>
      <w:pPr>
        <w:jc w:val="center"/>
      </w:pPr>
      <w:r>
        <w:rPr>
          <w:b/>
          <w:sz w:val="26"/>
        </w:rPr>
        <w:t>COMMUNE DE {{commune_nom}}</w:t>
      </w:r>
    </w:p>
    <w:p>
      <w:pPr>
        <w:jc w:val="center"/>
      </w:pPr>
      <w:r>
        <w:rPr>
          <w:sz w:val="22"/>
        </w:rPr>
        <w:t>Département de {{departement_nom}}</w:t>
      </w:r>
    </w:p>
    <w:p/>
    <w:p>
      <w:pPr>
        <w:jc w:val="center"/>
      </w:pPr>
      <w:r>
        <w:rPr>
          <w:b/>
          <w:sz w:val="28"/>
          <w:u w:val="single"/>
        </w:rPr>
        <w:t>ARRÊTÉ DE VOIRIE N° {{numero_arrete}}</w:t>
        <w:br/>
        <w:t>PORTANT PERMIS DE STATIONNEMENT</w:t>
      </w:r>
    </w:p>
    <w:p/>
    <w:p>
      <w:pPr>
        <w:spacing w:after="40"/>
      </w:pPr>
      <w:r>
        <w:t>VU le Code général des collectivités territoriales, notamment les articles L.2213-1 et L.2213-6 ;</w:t>
      </w:r>
    </w:p>
    <w:p>
      <w:pPr>
        <w:spacing w:after="40"/>
      </w:pPr>
      <w:r>
        <w:t>VU le Code de la voirie routière ;</w:t>
      </w:r>
    </w:p>
    <w:p>
      <w:pPr>
        <w:spacing w:after="40"/>
      </w:pPr>
      <w:r>
        <w:t>VU le Code général de la propriété des personnes publiques, notamment les articles L.2122-1 et suivants ;</w:t>
      </w:r>
    </w:p>
    <w:p>
      <w:pPr>
        <w:spacing w:after="40"/>
      </w:pPr>
      <w:r>
        <w:t>VU le règlement de voirie communale ;</w:t>
      </w:r>
    </w:p>
    <w:p>
      <w:pPr>
        <w:spacing w:after="40"/>
      </w:pPr>
      <w:r>
        <w:t>VU la demande présentée par {{demandeur_nom}} en date du {{date_demande}} ;</w:t>
      </w:r>
    </w:p>
    <w:p/>
    <w:p>
      <w:pPr>
        <w:spacing w:after="40"/>
      </w:pPr>
      <w:r>
        <w:t>CONSIDÉRANT que l'occupation du domaine public sollicitée est compatible avec la conservation du domaine public et l'exercice des activités de service public ;</w:t>
      </w:r>
    </w:p>
    <w:p>
      <w:pPr>
        <w:spacing w:after="40"/>
      </w:pPr>
      <w:r>
        <w:t>CONSIDÉRANT que l'installation de {{objet_occupation}} ne constitue pas un obstacle à la circulation des piétons et des véhicules ;</w:t>
      </w:r>
    </w:p>
    <w:p/>
    <w:p>
      <w:r>
        <w:rPr>
          <w:b/>
          <w:sz w:val="26"/>
        </w:rPr>
        <w:t>ARRÊTE :</w:t>
      </w:r>
    </w:p>
    <w:p/>
    <w:p>
      <w:r>
        <w:rPr>
          <w:b/>
          <w:u w:val="single"/>
        </w:rPr>
        <w:t>Article 1er – Bénéficiaire</w:t>
      </w:r>
    </w:p>
    <w:p>
      <w:r>
        <w:t>{{demandeur_nom}}, demeurant {{demandeur_adresse}}, est autorisé(e) à occuper temporairement le domaine public communal dans les conditions définies ci-après.</w:t>
      </w:r>
    </w:p>
    <w:p>
      <w:r>
        <w:rPr>
          <w:b/>
          <w:u w:val="single"/>
        </w:rPr>
        <w:t>Article 2 – Objet et localisation</w:t>
      </w:r>
    </w:p>
    <w:p>
      <w:r>
        <w:t>L'autorisation porte sur l'installation de {{objet_occupation}} au droit du {{adresse_occupation}}, sur une superficie de {{surface_m2}} m².</w:t>
      </w:r>
    </w:p>
    <w:p>
      <w:r>
        <w:rPr>
          <w:b/>
          <w:u w:val="single"/>
        </w:rPr>
        <w:t>Article 3 – Durée</w:t>
      </w:r>
    </w:p>
    <w:p>
      <w:r>
        <w:t>La présente autorisation est accordée du {{date_debut}} au {{date_fin}}.</w:t>
      </w:r>
    </w:p>
    <w:p>
      <w:r>
        <w:rPr>
          <w:b/>
          <w:u w:val="single"/>
        </w:rPr>
        <w:t>Article 4 – Caractère précaire et révocable</w:t>
      </w:r>
    </w:p>
    <w:p>
      <w:r>
        <w:t>La présente autorisation est délivrée à titre précaire et révocable. Elle peut être retirée à tout moment, pour un motif d'intérêt général, sans que le bénéficiaire puisse prétendre à une quelconque indemnité.</w:t>
      </w:r>
    </w:p>
    <w:p>
      <w:r>
        <w:rPr>
          <w:b/>
          <w:u w:val="single"/>
        </w:rPr>
        <w:t>Article 5 – Redevance</w:t>
      </w:r>
    </w:p>
    <w:p>
      <w:r>
        <w:t>L'occupation du domaine public donne lieu au paiement d'une redevance d'un montant de {{montant_redevance}} euros, conformément au tarif en vigueur adopté par le conseil municipal.</w:t>
      </w:r>
    </w:p>
    <w:p>
      <w:r>
        <w:rPr>
          <w:b/>
          <w:u w:val="single"/>
        </w:rPr>
        <w:t>Article 6 – Prescriptions techniques</w:t>
      </w:r>
    </w:p>
    <w:p>
      <w:r>
        <w:t>Le bénéficiaire devra respecter les prescriptions suivantes :</w:t>
        <w:br/>
        <w:t>- Maintenir la propreté des lieux occupés et de leurs abords ;</w:t>
        <w:br/>
        <w:t>- Ne pas gêner la circulation des piétons et des véhicules ;</w:t>
        <w:br/>
        <w:t>- {{prescriptions_supplementaires}} ;</w:t>
        <w:br/>
        <w:t>- Respecter les horaires suivants : {{horaires_autorises}}.</w:t>
      </w:r>
    </w:p>
    <w:p>
      <w:r>
        <w:rPr>
          <w:b/>
          <w:u w:val="single"/>
        </w:rPr>
        <w:t>Article 7 – Signalisation</w:t>
      </w:r>
    </w:p>
    <w:p>
      <w:r>
        <w:t>Le bénéficiaire est tenu de mettre en place, à ses frais, la signalisation réglementaire nécessaire.</w:t>
      </w:r>
    </w:p>
    <w:p>
      <w:r>
        <w:rPr>
          <w:b/>
          <w:u w:val="single"/>
        </w:rPr>
        <w:t>Article 8 – Responsabilité et assurances</w:t>
      </w:r>
    </w:p>
    <w:p>
      <w:r>
        <w:t>Le bénéficiaire est responsable de tout dommage causé aux tiers ou au domaine public du fait de l'occupation autorisée. Il devra justifier d'une assurance couvrant sa responsabilité civile.</w:t>
      </w:r>
    </w:p>
    <w:p>
      <w:r>
        <w:rPr>
          <w:b/>
          <w:u w:val="single"/>
        </w:rPr>
        <w:t>Article 9 – Remise en état</w:t>
      </w:r>
    </w:p>
    <w:p>
      <w:r>
        <w:t>À l'expiration de l'autorisation ou en cas de retrait, le bénéficiaire devra remettre les lieux dans leur état initial, dans un délai de {{delai_remise_etat}} jours.</w:t>
      </w:r>
    </w:p>
    <w:p>
      <w:r>
        <w:rPr>
          <w:b/>
          <w:u w:val="single"/>
        </w:rPr>
        <w:t>Article 10 – Publication et notification</w:t>
      </w:r>
    </w:p>
    <w:p>
      <w:r>
        <w:t>Le présent arrêté sera affiché sur les lieux et notifié au bénéficiaire. Il sera également publié au recueil des actes administratifs.</w:t>
      </w:r>
    </w:p>
    <w:p>
      <w:r>
        <w:rPr>
          <w:b/>
          <w:u w:val="single"/>
        </w:rPr>
        <w:t>Article 11 – Recours</w:t>
      </w:r>
    </w:p>
    <w:p>
      <w:r>
        <w:t>Le présent arrêté peut faire l'objet d'un recours contentieux devant le tribunal administratif de {{tribunal_administratif}} dans un délai de deux mois à compter de sa publication ou de sa notification.</w:t>
      </w:r>
    </w:p>
    <w:p>
      <w:r>
        <w:rPr>
          <w:b/>
          <w:u w:val="single"/>
        </w:rPr>
        <w:t>Article 12 – Exécution</w:t>
      </w:r>
    </w:p>
    <w:p>
      <w:r>
        <w:t>Le secrétaire général de la mairie et les services municipaux compétents sont chargés, chacun en ce qui le concerne, de l'exécution du présent arrêté.</w:t>
      </w:r>
    </w:p>
    <w:p/>
    <w:p>
      <w:pPr>
        <w:jc w:val="left"/>
      </w:pPr>
      <w:r>
        <w:t>Fait à {{commune_nom}}, le {{date_signature}}</w:t>
      </w:r>
    </w:p>
    <w:p/>
    <w:p>
      <w:pPr>
        <w:jc w:val="right"/>
      </w:pPr>
      <w:r>
        <w:rPr>
          <w:b/>
        </w:rPr>
        <w:t>Le Maire,</w:t>
      </w:r>
    </w:p>
    <w:p>
      <w:pPr>
        <w:jc w:val="right"/>
      </w:pPr>
      <w:r>
        <w:t>{{maire_nom}}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