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RÉPUBLIQUE FRANÇAISE</w:t>
      </w:r>
    </w:p>
    <w:p>
      <w:pPr>
        <w:jc w:val="center"/>
      </w:pPr>
      <w:r>
        <w:rPr>
          <w:i/>
          <w:sz w:val="20"/>
        </w:rPr>
        <w:t>Liberté - Égalité - Fraternité</w:t>
      </w:r>
    </w:p>
    <w:p/>
    <w:p>
      <w:pPr>
        <w:jc w:val="center"/>
      </w:pPr>
      <w:r>
        <w:rPr>
          <w:b/>
          <w:sz w:val="26"/>
        </w:rPr>
        <w:t>COMMUNE DE {{commune_nom}}</w:t>
      </w:r>
    </w:p>
    <w:p>
      <w:pPr>
        <w:jc w:val="center"/>
      </w:pPr>
      <w:r>
        <w:rPr>
          <w:sz w:val="22"/>
        </w:rPr>
        <w:t>Département de {{departement_nom}}</w:t>
      </w:r>
    </w:p>
    <w:p/>
    <w:p>
      <w:pPr>
        <w:jc w:val="center"/>
      </w:pPr>
      <w:r>
        <w:rPr>
          <w:b/>
          <w:sz w:val="28"/>
          <w:u w:val="single"/>
        </w:rPr>
        <w:t>ARRÊTÉ DE POLICE N° {{numero_arrete}}</w:t>
      </w:r>
    </w:p>
    <w:p>
      <w:pPr>
        <w:jc w:val="center"/>
      </w:pPr>
      <w:r>
        <w:rPr>
          <w:i/>
          <w:sz w:val="22"/>
        </w:rPr>
        <w:t>{{objet_arrete}}</w:t>
      </w:r>
    </w:p>
    <w:p/>
    <w:p>
      <w:pPr>
        <w:spacing w:after="40"/>
      </w:pPr>
      <w:r>
        <w:t>VU le Code général des collectivités territoriales, notamment les articles L.2212-1 et L.2212-2 ;</w:t>
      </w:r>
    </w:p>
    <w:p>
      <w:pPr>
        <w:spacing w:after="40"/>
      </w:pPr>
      <w:r>
        <w:t>VU le Code de la santé publique ;</w:t>
      </w:r>
    </w:p>
    <w:p>
      <w:pPr>
        <w:spacing w:after="40"/>
      </w:pPr>
      <w:r>
        <w:t>VU le Code de l'environnement ;</w:t>
      </w:r>
    </w:p>
    <w:p>
      <w:pPr>
        <w:spacing w:after="40"/>
      </w:pPr>
      <w:r>
        <w:t>VU le Code pénal, notamment les articles R.610-5 et R.644-2 ;</w:t>
      </w:r>
    </w:p>
    <w:p/>
    <w:p>
      <w:pPr>
        <w:spacing w:after="40"/>
      </w:pPr>
      <w:r>
        <w:t>CONSIDÉRANT qu'il appartient au maire d'assurer le bon ordre, la sûreté, la sécurité et la salubrité publiques sur le territoire de la commune ;</w:t>
      </w:r>
    </w:p>
    <w:p>
      <w:pPr>
        <w:spacing w:after="40"/>
      </w:pPr>
      <w:r>
        <w:t>CONSIDÉRANT que {{motif_principal}} ;</w:t>
      </w:r>
    </w:p>
    <w:p>
      <w:pPr>
        <w:spacing w:after="40"/>
      </w:pPr>
      <w:r>
        <w:t>CONSIDÉRANT la nécessité de prévenir {{risque_ou_nuisance}} ;</w:t>
      </w:r>
    </w:p>
    <w:p>
      <w:pPr>
        <w:spacing w:after="40"/>
      </w:pPr>
      <w:r>
        <w:t>CONSIDÉRANT que {{justification_complementaire}} ;</w:t>
      </w:r>
    </w:p>
    <w:p/>
    <w:p>
      <w:r>
        <w:rPr>
          <w:b/>
          <w:sz w:val="26"/>
        </w:rPr>
        <w:t>ARRÊTE :</w:t>
      </w:r>
    </w:p>
    <w:p/>
    <w:p>
      <w:r>
        <w:rPr>
          <w:b/>
          <w:u w:val="single"/>
        </w:rPr>
        <w:t>Article 1er – Mesures prescrites</w:t>
      </w:r>
    </w:p>
    <w:p>
      <w:r>
        <w:t>{{mesures_prescrites}}</w:t>
      </w:r>
    </w:p>
    <w:p>
      <w:r>
        <w:rPr>
          <w:b/>
          <w:u w:val="single"/>
        </w:rPr>
        <w:t>Article 2 – Périmètre d'application</w:t>
      </w:r>
    </w:p>
    <w:p>
      <w:r>
        <w:t>Les mesures prévues à l'article 1er s'appliquent sur le périmètre suivant : {{perimetre_application}}.</w:t>
      </w:r>
    </w:p>
    <w:p>
      <w:r>
        <w:rPr>
          <w:b/>
          <w:u w:val="single"/>
        </w:rPr>
        <w:t>Article 3 – Durée d'application</w:t>
      </w:r>
    </w:p>
    <w:p>
      <w:r>
        <w:t>Le présent arrêté entre en vigueur le {{date_debut}} et reste applicable jusqu'au {{date_fin}}.</w:t>
      </w:r>
    </w:p>
    <w:p>
      <w:r>
        <w:rPr>
          <w:b/>
          <w:u w:val="single"/>
        </w:rPr>
        <w:t>Article 4 – Sanctions</w:t>
      </w:r>
    </w:p>
    <w:p>
      <w:r>
        <w:t>Toute infraction au présent arrêté sera constatée et poursuivie conformément aux lois et règlements en vigueur. Les contrevenants s'exposent aux sanctions prévues par l'article R.610-5 du Code pénal.</w:t>
      </w:r>
    </w:p>
    <w:p>
      <w:r>
        <w:rPr>
          <w:b/>
          <w:u w:val="single"/>
        </w:rPr>
        <w:t>Article 5 – Publication et notification</w:t>
      </w:r>
    </w:p>
    <w:p>
      <w:r>
        <w:t>Le présent arrêté sera affiché en mairie, publié au recueil des actes administratifs de la commune et notifié aux personnes intéressées.</w:t>
      </w:r>
    </w:p>
    <w:p>
      <w:r>
        <w:rPr>
          <w:b/>
          <w:u w:val="single"/>
        </w:rPr>
        <w:t>Article 6 – Recours</w:t>
      </w:r>
    </w:p>
    <w:p>
      <w:r>
        <w:t>Le présent arrêté peut faire l'objet d'un recours contentieux devant le tribunal administratif de {{tribunal_administratif}} dans un délai de deux mois à compter de sa publication ou de sa notification.</w:t>
      </w:r>
    </w:p>
    <w:p>
      <w:r>
        <w:rPr>
          <w:b/>
          <w:u w:val="single"/>
        </w:rPr>
        <w:t>Article 7 – Exécution</w:t>
      </w:r>
    </w:p>
    <w:p>
      <w:r>
        <w:t>Le secrétaire général de la mairie, les agents de police municipale et tout agent de la force publique sont chargés, chacun en ce qui le concerne, de l'exécution du présent arrêté.</w:t>
      </w:r>
    </w:p>
    <w:p/>
    <w:p>
      <w:pPr>
        <w:jc w:val="left"/>
      </w:pPr>
      <w:r>
        <w:t>Fait à {{commune_nom}}, le {{date_signature}}</w:t>
      </w:r>
    </w:p>
    <w:p/>
    <w:p>
      <w:pPr>
        <w:jc w:val="right"/>
      </w:pPr>
      <w:r>
        <w:rPr>
          <w:b/>
        </w:rPr>
        <w:t>Le Maire,</w:t>
      </w:r>
    </w:p>
    <w:p>
      <w:pPr>
        <w:jc w:val="right"/>
      </w:pPr>
      <w:r>
        <w:t>{{maire_nom}}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