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Documentação Atlanta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Banco de Dados inicial do projeto Atlanta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Base de dados: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Tabela de componente, de config (que tera o id do componente), páginas, componente_pagina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Component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Id - ID de referência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string - nome do componente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Label: string  - titulo que receberá o componente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Config_components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Id - ID de referência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string - Nome da configuração do componente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Text1: string - Campo para texto editável do usuário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Text2: string - Campo para texto editável do usuário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Text3: string - Campo para texto editável do usuário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text4: string - Campo para texto editável do usuário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text5: string - Campo para texto editável do usuário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image1: string - Campo para caminho da imagem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image2: string - Campo para caminho da imagem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image3: string - Campo para caminho da imagem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Backgroud-color: string - campo de configuração da cor do background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min-Heigth: string - altura minima do componente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Can-edit-background-image: boolean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Se o usuário pode editar a imagem de fundo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Can-edit-background-color: boolean - Se o usuário pode editar a cor de fundo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Component_id: ID do componente em referencia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Id - ID de referência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string - Nome da página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Client_id - ID de referência do cliente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Url: string - caminho de url da página para publicação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Status: ENUM (publicado, cancelado)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File: string - local que está salvo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Component_page</w:t>
        <w:br w:type="textWrapping"/>
        <w:t xml:space="preserve">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Id - ID de referência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page_id - ID de referência da página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Component-id - ID de referência do componente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