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6"/>
        <w:rPr>
          <w:vertAlign w:val="subscript"/>
        </w:rPr>
      </w:pPr>
      <w:r>
        <w:rPr>
          <w:vertAlign w:val="subscript"/>
        </w:rPr>
        <mc:AlternateContent>
          <mc:Choice Requires="wps">
            <w:drawing>
              <wp:anchor distT="0" distB="0" distL="114300" distR="114300" simplePos="0" relativeHeight="251659264" behindDoc="0" locked="0" layoutInCell="1" allowOverlap="1">
                <wp:simplePos x="0" y="0"/>
                <wp:positionH relativeFrom="column">
                  <wp:posOffset>4143375</wp:posOffset>
                </wp:positionH>
                <wp:positionV relativeFrom="paragraph">
                  <wp:posOffset>-85725</wp:posOffset>
                </wp:positionV>
                <wp:extent cx="1781175" cy="568960"/>
                <wp:effectExtent l="0" t="0" r="0" b="2540"/>
                <wp:wrapNone/>
                <wp:docPr id="11" name="文本框 60"/>
                <wp:cNvGraphicFramePr/>
                <a:graphic xmlns:a="http://schemas.openxmlformats.org/drawingml/2006/main">
                  <a:graphicData uri="http://schemas.microsoft.com/office/word/2010/wordprocessingShape">
                    <wps:wsp>
                      <wps:cNvSpPr txBox="1"/>
                      <wps:spPr>
                        <a:xfrm>
                          <a:off x="0" y="0"/>
                          <a:ext cx="1781175" cy="568960"/>
                        </a:xfrm>
                        <a:prstGeom prst="rect">
                          <a:avLst/>
                        </a:prstGeom>
                        <a:noFill/>
                        <a:ln w="9525">
                          <a:noFill/>
                        </a:ln>
                      </wps:spPr>
                      <wps:txbx>
                        <w:txbxContent>
                          <w:p>
                            <w:pPr>
                              <w:rPr>
                                <w:rFonts w:ascii="微软雅黑" w:hAnsi="微软雅黑" w:eastAsia="微软雅黑" w:cs="微软雅黑"/>
                                <w:color w:val="7F7F7F" w:themeColor="background1" w:themeShade="80"/>
                                <w:sz w:val="22"/>
                                <w:szCs w:val="22"/>
                              </w:rPr>
                            </w:pPr>
                            <w:r>
                              <w:rPr>
                                <w:rFonts w:hint="eastAsia" w:ascii="微软雅黑" w:hAnsi="微软雅黑" w:eastAsia="微软雅黑" w:cs="微软雅黑"/>
                                <w:color w:val="7F7F7F" w:themeColor="background1" w:themeShade="80"/>
                                <w:sz w:val="22"/>
                                <w:szCs w:val="22"/>
                              </w:rPr>
                              <w:t>报告编号：${report_id}</w:t>
                            </w:r>
                          </w:p>
                        </w:txbxContent>
                      </wps:txbx>
                      <wps:bodyPr vert="horz" wrap="square" anchor="t" upright="1"/>
                    </wps:wsp>
                  </a:graphicData>
                </a:graphic>
              </wp:anchor>
            </w:drawing>
          </mc:Choice>
          <mc:Fallback>
            <w:pict>
              <v:shape id="文本框 60" o:spid="_x0000_s1026" o:spt="202" type="#_x0000_t202" style="position:absolute;left:0pt;margin-left:326.25pt;margin-top:-6.75pt;height:44.8pt;width:140.25pt;z-index:251659264;mso-width-relative:page;mso-height-relative:page;" filled="f" stroked="f" coordsize="21600,21600" o:gfxdata="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sS&#10;StTYAAAACgEAAA8AAAAAAAAAAQAgAAAAIgAAAGRycy9kb3ducmV2LnhtbFBLAQIUABQAAAAIAIdO&#10;4kD2jo9RsQEAADADAAAOAAAAAAAAAAEAIAAAACcBAABkcnMvZTJvRG9jLnhtbFBLBQYAAAAABgAG&#10;AFkBAABKBQAAAAA=&#10;">
                <v:fill on="f" focussize="0,0"/>
                <v:stroke on="f"/>
                <v:imagedata o:title=""/>
                <o:lock v:ext="edit" aspectratio="f"/>
                <v:textbox>
                  <w:txbxContent>
                    <w:p>
                      <w:pPr>
                        <w:rPr>
                          <w:rFonts w:ascii="微软雅黑" w:hAnsi="微软雅黑" w:eastAsia="微软雅黑" w:cs="微软雅黑"/>
                          <w:color w:val="7F7F7F" w:themeColor="background1" w:themeShade="80"/>
                          <w:sz w:val="22"/>
                          <w:szCs w:val="22"/>
                        </w:rPr>
                      </w:pPr>
                      <w:r>
                        <w:rPr>
                          <w:rFonts w:hint="eastAsia" w:ascii="微软雅黑" w:hAnsi="微软雅黑" w:eastAsia="微软雅黑" w:cs="微软雅黑"/>
                          <w:color w:val="7F7F7F" w:themeColor="background1" w:themeShade="80"/>
                          <w:sz w:val="22"/>
                          <w:szCs w:val="22"/>
                        </w:rPr>
                        <w:t>报告编号：${report_id}</w:t>
                      </w:r>
                    </w:p>
                  </w:txbxContent>
                </v:textbox>
              </v:shape>
            </w:pict>
          </mc:Fallback>
        </mc:AlternateContent>
      </w:r>
      <w:r>
        <w:rPr>
          <w:vertAlign w:val="subscript"/>
        </w:rPr>
        <mc:AlternateContent>
          <mc:Choice Requires="wps">
            <w:drawing>
              <wp:anchor distT="0" distB="0" distL="114300" distR="114300" simplePos="0" relativeHeight="251653120" behindDoc="0" locked="0" layoutInCell="1" allowOverlap="1">
                <wp:simplePos x="0" y="0"/>
                <wp:positionH relativeFrom="column">
                  <wp:posOffset>1651635</wp:posOffset>
                </wp:positionH>
                <wp:positionV relativeFrom="paragraph">
                  <wp:posOffset>2297430</wp:posOffset>
                </wp:positionV>
                <wp:extent cx="2142490" cy="759460"/>
                <wp:effectExtent l="0" t="0" r="0" b="2540"/>
                <wp:wrapNone/>
                <wp:docPr id="8" name="文本框 50"/>
                <wp:cNvGraphicFramePr/>
                <a:graphic xmlns:a="http://schemas.openxmlformats.org/drawingml/2006/main">
                  <a:graphicData uri="http://schemas.microsoft.com/office/word/2010/wordprocessingShape">
                    <wps:wsp>
                      <wps:cNvSpPr txBox="1"/>
                      <wps:spPr>
                        <a:xfrm>
                          <a:off x="0" y="0"/>
                          <a:ext cx="2142490" cy="759460"/>
                        </a:xfrm>
                        <a:prstGeom prst="rect">
                          <a:avLst/>
                        </a:prstGeom>
                        <a:noFill/>
                        <a:ln w="9525">
                          <a:noFill/>
                        </a:ln>
                      </wps:spPr>
                      <wps:txbx>
                        <w:txbxContent>
                          <w:p>
                            <w:pPr>
                              <w:jc w:val="center"/>
                              <w:rPr>
                                <w:rFonts w:ascii="微软雅黑" w:hAnsi="微软雅黑" w:eastAsia="微软雅黑" w:cs="思源黑体 CN Regular"/>
                                <w:color w:val="7F7F7F" w:themeColor="background1" w:themeShade="80"/>
                                <w:sz w:val="52"/>
                                <w:szCs w:val="52"/>
                              </w:rPr>
                            </w:pPr>
                            <w:r>
                              <w:rPr>
                                <w:rFonts w:hint="eastAsia" w:ascii="微软雅黑" w:hAnsi="微软雅黑" w:eastAsia="微软雅黑" w:cs="思源黑体 CN Regular"/>
                                <w:color w:val="7F7F7F" w:themeColor="background1" w:themeShade="80"/>
                                <w:sz w:val="52"/>
                                <w:szCs w:val="52"/>
                              </w:rPr>
                              <w:t>高通量测序</w:t>
                            </w:r>
                          </w:p>
                          <w:p>
                            <w:pPr>
                              <w:jc w:val="center"/>
                              <w:rPr>
                                <w:rFonts w:ascii="微软雅黑" w:hAnsi="微软雅黑" w:eastAsia="微软雅黑" w:cs="微软雅黑"/>
                                <w:sz w:val="36"/>
                                <w:szCs w:val="36"/>
                              </w:rPr>
                            </w:pPr>
                          </w:p>
                        </w:txbxContent>
                      </wps:txbx>
                      <wps:bodyPr vert="horz" anchor="t" upright="1"/>
                    </wps:wsp>
                  </a:graphicData>
                </a:graphic>
              </wp:anchor>
            </w:drawing>
          </mc:Choice>
          <mc:Fallback>
            <w:pict>
              <v:shape id="文本框 50" o:spid="_x0000_s1026" o:spt="202" type="#_x0000_t202" style="position:absolute;left:0pt;margin-left:130.05pt;margin-top:180.9pt;height:59.8pt;width:168.7pt;z-index:251653120;mso-width-relative:page;mso-height-relative:page;" filled="f" stroked="f" coordsize="21600,21600" o:gfxdata="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c7DoNtgAAAALAQAA&#10;DwAAAAAAAAABACAAAAAiAAAAZHJzL2Rvd25yZXYueG1sUEsBAhQAFAAAAAgAh07iQJ2LCTynAQAA&#10;IQMAAA4AAAAAAAAAAQAgAAAAJwEAAGRycy9lMm9Eb2MueG1sUEsFBgAAAAAGAAYAWQEAAEAFAAAA&#10;AA==&#10;">
                <v:fill on="f" focussize="0,0"/>
                <v:stroke on="f"/>
                <v:imagedata o:title=""/>
                <o:lock v:ext="edit" aspectratio="f"/>
                <v:textbox>
                  <w:txbxContent>
                    <w:p>
                      <w:pPr>
                        <w:jc w:val="center"/>
                        <w:rPr>
                          <w:rFonts w:ascii="微软雅黑" w:hAnsi="微软雅黑" w:eastAsia="微软雅黑" w:cs="思源黑体 CN Regular"/>
                          <w:color w:val="7F7F7F" w:themeColor="background1" w:themeShade="80"/>
                          <w:sz w:val="52"/>
                          <w:szCs w:val="52"/>
                        </w:rPr>
                      </w:pPr>
                      <w:r>
                        <w:rPr>
                          <w:rFonts w:hint="eastAsia" w:ascii="微软雅黑" w:hAnsi="微软雅黑" w:eastAsia="微软雅黑" w:cs="思源黑体 CN Regular"/>
                          <w:color w:val="7F7F7F" w:themeColor="background1" w:themeShade="80"/>
                          <w:sz w:val="52"/>
                          <w:szCs w:val="52"/>
                        </w:rPr>
                        <w:t>高通量测序</w:t>
                      </w:r>
                    </w:p>
                    <w:p>
                      <w:pPr>
                        <w:jc w:val="center"/>
                        <w:rPr>
                          <w:rFonts w:ascii="微软雅黑" w:hAnsi="微软雅黑" w:eastAsia="微软雅黑" w:cs="微软雅黑"/>
                          <w:sz w:val="36"/>
                          <w:szCs w:val="36"/>
                        </w:rPr>
                      </w:pPr>
                    </w:p>
                  </w:txbxContent>
                </v:textbox>
              </v:shape>
            </w:pict>
          </mc:Fallback>
        </mc:AlternateContent>
      </w:r>
      <w:r>
        <w:rPr>
          <w:vertAlign w:val="subscript"/>
        </w:rPr>
        <mc:AlternateContent>
          <mc:Choice Requires="wps">
            <w:drawing>
              <wp:anchor distT="0" distB="0" distL="114300" distR="114300" simplePos="0" relativeHeight="251652096" behindDoc="0" locked="0" layoutInCell="1" allowOverlap="1">
                <wp:simplePos x="0" y="0"/>
                <wp:positionH relativeFrom="column">
                  <wp:posOffset>1729105</wp:posOffset>
                </wp:positionH>
                <wp:positionV relativeFrom="paragraph">
                  <wp:posOffset>2594610</wp:posOffset>
                </wp:positionV>
                <wp:extent cx="635" cy="855980"/>
                <wp:effectExtent l="0" t="0" r="37465" b="20320"/>
                <wp:wrapNone/>
                <wp:docPr id="7" name="直线 47"/>
                <wp:cNvGraphicFramePr/>
                <a:graphic xmlns:a="http://schemas.openxmlformats.org/drawingml/2006/main">
                  <a:graphicData uri="http://schemas.microsoft.com/office/word/2010/wordprocessingShape">
                    <wps:wsp>
                      <wps:cNvCnPr/>
                      <wps:spPr>
                        <a:xfrm>
                          <a:off x="0" y="0"/>
                          <a:ext cx="635" cy="855980"/>
                        </a:xfrm>
                        <a:prstGeom prst="line">
                          <a:avLst/>
                        </a:prstGeom>
                        <a:ln w="19050" cap="flat" cmpd="sng">
                          <a:solidFill>
                            <a:srgbClr val="BFBFBF"/>
                          </a:solidFill>
                          <a:prstDash val="solid"/>
                          <a:headEnd type="none" w="med" len="med"/>
                          <a:tailEnd type="none" w="med" len="med"/>
                        </a:ln>
                      </wps:spPr>
                      <wps:bodyPr/>
                    </wps:wsp>
                  </a:graphicData>
                </a:graphic>
              </wp:anchor>
            </w:drawing>
          </mc:Choice>
          <mc:Fallback>
            <w:pict>
              <v:line id="直线 47" o:spid="_x0000_s1026" o:spt="20" style="position:absolute;left:0pt;margin-left:136.15pt;margin-top:204.3pt;height:67.4pt;width:0.05pt;z-index:251652096;mso-width-relative:page;mso-height-relative:page;" filled="f" stroked="t" coordsize="21600,21600" o:gfxdata="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sXEly2QAAAAsBAAAPAAAAAAAAAAEAIAAAACIAAABk&#10;cnMvZG93bnJldi54bWxQSwECFAAUAAAACACHTuJAMI4/A8wBAACEAwAADgAAAAAAAAABACAAAAAo&#10;AQAAZHJzL2Uyb0RvYy54bWxQSwUGAAAAAAYABgBZAQAAZgUAAAAA&#10;">
                <v:fill on="f" focussize="0,0"/>
                <v:stroke weight="1.5pt" color="#BFBFBF" joinstyle="round"/>
                <v:imagedata o:title=""/>
                <o:lock v:ext="edit" aspectratio="f"/>
              </v:line>
            </w:pict>
          </mc:Fallback>
        </mc:AlternateContent>
      </w:r>
      <w:r>
        <w:rPr>
          <w:rFonts w:hint="eastAsia"/>
          <w:vertAlign w:val="subscript"/>
        </w:rPr>
        <w:drawing>
          <wp:anchor distT="0" distB="0" distL="114300" distR="114300" simplePos="0" relativeHeight="251650048" behindDoc="1" locked="0" layoutInCell="1" allowOverlap="1">
            <wp:simplePos x="0" y="0"/>
            <wp:positionH relativeFrom="column">
              <wp:posOffset>-90170</wp:posOffset>
            </wp:positionH>
            <wp:positionV relativeFrom="paragraph">
              <wp:posOffset>2604135</wp:posOffset>
            </wp:positionV>
            <wp:extent cx="1681480" cy="627380"/>
            <wp:effectExtent l="0" t="0" r="13970" b="1270"/>
            <wp:wrapThrough wrapText="bothSides">
              <wp:wrapPolygon>
                <wp:start x="13459" y="0"/>
                <wp:lineTo x="1958" y="3279"/>
                <wp:lineTo x="0" y="4591"/>
                <wp:lineTo x="0" y="16397"/>
                <wp:lineTo x="9789" y="20988"/>
                <wp:lineTo x="21290" y="20988"/>
                <wp:lineTo x="21290" y="15085"/>
                <wp:lineTo x="20311" y="10494"/>
                <wp:lineTo x="21290" y="7870"/>
                <wp:lineTo x="21290" y="6559"/>
                <wp:lineTo x="20311" y="0"/>
                <wp:lineTo x="13459" y="0"/>
              </wp:wrapPolygon>
            </wp:wrapThrough>
            <wp:docPr id="2" name="图片 2" descr="海普洛斯LOGO（矢量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海普洛斯LOGO（矢量文件）"/>
                    <pic:cNvPicPr>
                      <a:picLocks noChangeAspect="1"/>
                    </pic:cNvPicPr>
                  </pic:nvPicPr>
                  <pic:blipFill>
                    <a:blip r:embed="rId14"/>
                    <a:stretch>
                      <a:fillRect/>
                    </a:stretch>
                  </pic:blipFill>
                  <pic:spPr>
                    <a:xfrm>
                      <a:off x="0" y="0"/>
                      <a:ext cx="1681480" cy="627380"/>
                    </a:xfrm>
                    <a:prstGeom prst="rect">
                      <a:avLst/>
                    </a:prstGeom>
                  </pic:spPr>
                </pic:pic>
              </a:graphicData>
            </a:graphic>
          </wp:anchor>
        </w:drawing>
      </w:r>
      <w:r>
        <w:rPr>
          <w:vertAlign w:val="subscript"/>
        </w:rPr>
        <mc:AlternateContent>
          <mc:Choice Requires="wps">
            <w:drawing>
              <wp:anchor distT="0" distB="0" distL="114300" distR="114300" simplePos="0" relativeHeight="251651072" behindDoc="1" locked="0" layoutInCell="1" allowOverlap="1">
                <wp:simplePos x="0" y="0"/>
                <wp:positionH relativeFrom="column">
                  <wp:posOffset>-179070</wp:posOffset>
                </wp:positionH>
                <wp:positionV relativeFrom="paragraph">
                  <wp:posOffset>3115310</wp:posOffset>
                </wp:positionV>
                <wp:extent cx="2026920" cy="414655"/>
                <wp:effectExtent l="0" t="0" r="0" b="4445"/>
                <wp:wrapThrough wrapText="bothSides">
                  <wp:wrapPolygon>
                    <wp:start x="609" y="0"/>
                    <wp:lineTo x="609" y="20839"/>
                    <wp:lineTo x="20910" y="20839"/>
                    <wp:lineTo x="20910" y="0"/>
                    <wp:lineTo x="609" y="0"/>
                  </wp:wrapPolygon>
                </wp:wrapThrough>
                <wp:docPr id="3" name="文本框 46"/>
                <wp:cNvGraphicFramePr/>
                <a:graphic xmlns:a="http://schemas.openxmlformats.org/drawingml/2006/main">
                  <a:graphicData uri="http://schemas.microsoft.com/office/word/2010/wordprocessingShape">
                    <wps:wsp>
                      <wps:cNvSpPr txBox="1"/>
                      <wps:spPr>
                        <a:xfrm>
                          <a:off x="0" y="0"/>
                          <a:ext cx="2026920" cy="414655"/>
                        </a:xfrm>
                        <a:prstGeom prst="rect">
                          <a:avLst/>
                        </a:prstGeom>
                        <a:noFill/>
                        <a:ln w="9525">
                          <a:noFill/>
                        </a:ln>
                      </wps:spPr>
                      <wps:txbx>
                        <w:txbxContent>
                          <w:p>
                            <w:pPr>
                              <w:rPr>
                                <w:rFonts w:ascii="微软雅黑" w:hAnsi="微软雅黑" w:eastAsia="微软雅黑" w:cs="微软雅黑"/>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color w:val="7F7F7F" w:themeColor="background1" w:themeShade="80"/>
                                <w:sz w:val="24"/>
                                <w:szCs w:val="24"/>
                              </w:rPr>
                              <w:t>超微量肿瘤液体活检专家</w:t>
                            </w:r>
                          </w:p>
                        </w:txbxContent>
                      </wps:txbx>
                      <wps:bodyPr vert="horz" anchor="t" upright="1"/>
                    </wps:wsp>
                  </a:graphicData>
                </a:graphic>
              </wp:anchor>
            </w:drawing>
          </mc:Choice>
          <mc:Fallback>
            <w:pict>
              <v:shape id="文本框 46" o:spid="_x0000_s1026" o:spt="202" type="#_x0000_t202" style="position:absolute;left:0pt;margin-left:-14.1pt;margin-top:245.3pt;height:32.65pt;width:159.6pt;mso-wrap-distance-left:9pt;mso-wrap-distance-right:9pt;z-index:-251665408;mso-width-relative:page;mso-height-relative:page;" filled="f" stroked="f" coordsize="21600,21600" wrapcoords="609 0 609 20839 20910 20839 20910 0 609 0" o:gfxdata="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o5CLS2AAAAAsB&#10;AAAPAAAAAAAAAAEAIAAAACIAAABkcnMvZG93bnJldi54bWxQSwECFAAUAAAACACHTuJAlBXwE6kB&#10;AAAhAwAADgAAAAAAAAABACAAAAAnAQAAZHJzL2Uyb0RvYy54bWxQSwUGAAAAAAYABgBZAQAAQgUA&#10;AAAA&#10;">
                <v:fill on="f" focussize="0,0"/>
                <v:stroke on="f"/>
                <v:imagedata o:title=""/>
                <o:lock v:ext="edit" aspectratio="f"/>
                <v:textbox>
                  <w:txbxContent>
                    <w:p>
                      <w:pPr>
                        <w:rPr>
                          <w:rFonts w:ascii="微软雅黑" w:hAnsi="微软雅黑" w:eastAsia="微软雅黑" w:cs="微软雅黑"/>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color w:val="7F7F7F" w:themeColor="background1" w:themeShade="80"/>
                          <w:sz w:val="24"/>
                          <w:szCs w:val="24"/>
                        </w:rPr>
                        <w:t>超微量肿瘤液体活检专家</w:t>
                      </w:r>
                    </w:p>
                  </w:txbxContent>
                </v:textbox>
                <w10:wrap type="through"/>
              </v:shape>
            </w:pict>
          </mc:Fallback>
        </mc:AlternateContent>
      </w:r>
      <w:r>
        <w:rPr>
          <w:vertAlign w:val="subscript"/>
        </w:rPr>
        <mc:AlternateContent>
          <mc:Choice Requires="wps">
            <w:drawing>
              <wp:anchor distT="0" distB="0" distL="114300" distR="114300" simplePos="0" relativeHeight="251662336" behindDoc="0" locked="0" layoutInCell="1" allowOverlap="1">
                <wp:simplePos x="0" y="0"/>
                <wp:positionH relativeFrom="column">
                  <wp:posOffset>4130040</wp:posOffset>
                </wp:positionH>
                <wp:positionV relativeFrom="paragraph">
                  <wp:posOffset>9095105</wp:posOffset>
                </wp:positionV>
                <wp:extent cx="3600450" cy="407035"/>
                <wp:effectExtent l="0" t="0" r="0" b="0"/>
                <wp:wrapNone/>
                <wp:docPr id="13" name="文本框 62"/>
                <wp:cNvGraphicFramePr/>
                <a:graphic xmlns:a="http://schemas.openxmlformats.org/drawingml/2006/main">
                  <a:graphicData uri="http://schemas.microsoft.com/office/word/2010/wordprocessingShape">
                    <wps:wsp>
                      <wps:cNvSpPr txBox="1"/>
                      <wps:spPr>
                        <a:xfrm>
                          <a:off x="0" y="0"/>
                          <a:ext cx="3600450" cy="407035"/>
                        </a:xfrm>
                        <a:prstGeom prst="rect">
                          <a:avLst/>
                        </a:prstGeom>
                        <a:noFill/>
                        <a:ln w="9525">
                          <a:noFill/>
                        </a:ln>
                      </wps:spPr>
                      <wps:txbx>
                        <w:txbxContent>
                          <w:p>
                            <w:pPr>
                              <w:rPr>
                                <w:rFonts w:ascii="微软雅黑" w:hAnsi="微软雅黑" w:eastAsia="微软雅黑" w:cs="微软雅黑"/>
                                <w:color w:val="7F7F7F" w:themeColor="background1" w:themeShade="80"/>
                              </w:rPr>
                            </w:pPr>
                            <w:r>
                              <w:rPr>
                                <w:rFonts w:hint="eastAsia" w:ascii="微软雅黑" w:hAnsi="微软雅黑" w:eastAsia="微软雅黑" w:cs="微软雅黑"/>
                                <w:color w:val="7F7F7F" w:themeColor="background1" w:themeShade="80"/>
                              </w:rPr>
                              <w:t>HaploX B</w:t>
                            </w:r>
                            <w:r>
                              <w:rPr>
                                <w:rFonts w:ascii="微软雅黑" w:hAnsi="微软雅黑" w:eastAsia="微软雅黑" w:cs="微软雅黑"/>
                                <w:color w:val="7F7F7F" w:themeColor="background1" w:themeShade="80"/>
                              </w:rPr>
                              <w:t>i</w:t>
                            </w:r>
                            <w:r>
                              <w:rPr>
                                <w:rFonts w:hint="eastAsia" w:ascii="微软雅黑" w:hAnsi="微软雅黑" w:eastAsia="微软雅黑" w:cs="微软雅黑"/>
                                <w:color w:val="7F7F7F" w:themeColor="background1" w:themeShade="80"/>
                              </w:rPr>
                              <w:t>otechnology  Co,LTD</w:t>
                            </w:r>
                          </w:p>
                          <w:p/>
                        </w:txbxContent>
                      </wps:txbx>
                      <wps:bodyPr vert="horz" anchor="t" upright="1"/>
                    </wps:wsp>
                  </a:graphicData>
                </a:graphic>
              </wp:anchor>
            </w:drawing>
          </mc:Choice>
          <mc:Fallback>
            <w:pict>
              <v:shape id="文本框 62" o:spid="_x0000_s1026" o:spt="202" type="#_x0000_t202" style="position:absolute;left:0pt;margin-left:325.2pt;margin-top:716.15pt;height:32.05pt;width:283.5pt;z-index:251662336;mso-width-relative:page;mso-height-relative:page;" filled="f" stroked="f" coordsize="21600,21600" o:gfxdata="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9llibZAAAA&#10;DgEAAA8AAAAAAAAAAQAgAAAAIgAAAGRycy9kb3ducmV2LnhtbFBLAQIUABQAAAAIAIdO4kB7wXGC&#10;qgEAACIDAAAOAAAAAAAAAAEAIAAAACgBAABkcnMvZTJvRG9jLnhtbFBLBQYAAAAABgAGAFkBAABE&#10;BQAAAAA=&#10;">
                <v:fill on="f" focussize="0,0"/>
                <v:stroke on="f"/>
                <v:imagedata o:title=""/>
                <o:lock v:ext="edit" aspectratio="f"/>
                <v:textbox>
                  <w:txbxContent>
                    <w:p>
                      <w:pPr>
                        <w:rPr>
                          <w:rFonts w:ascii="微软雅黑" w:hAnsi="微软雅黑" w:eastAsia="微软雅黑" w:cs="微软雅黑"/>
                          <w:color w:val="7F7F7F" w:themeColor="background1" w:themeShade="80"/>
                        </w:rPr>
                      </w:pPr>
                      <w:r>
                        <w:rPr>
                          <w:rFonts w:hint="eastAsia" w:ascii="微软雅黑" w:hAnsi="微软雅黑" w:eastAsia="微软雅黑" w:cs="微软雅黑"/>
                          <w:color w:val="7F7F7F" w:themeColor="background1" w:themeShade="80"/>
                        </w:rPr>
                        <w:t>HaploX B</w:t>
                      </w:r>
                      <w:r>
                        <w:rPr>
                          <w:rFonts w:ascii="微软雅黑" w:hAnsi="微软雅黑" w:eastAsia="微软雅黑" w:cs="微软雅黑"/>
                          <w:color w:val="7F7F7F" w:themeColor="background1" w:themeShade="80"/>
                        </w:rPr>
                        <w:t>i</w:t>
                      </w:r>
                      <w:r>
                        <w:rPr>
                          <w:rFonts w:hint="eastAsia" w:ascii="微软雅黑" w:hAnsi="微软雅黑" w:eastAsia="微软雅黑" w:cs="微软雅黑"/>
                          <w:color w:val="7F7F7F" w:themeColor="background1" w:themeShade="80"/>
                        </w:rPr>
                        <w:t>otechnology  Co,LTD</w:t>
                      </w:r>
                    </w:p>
                    <w:p/>
                  </w:txbxContent>
                </v:textbox>
              </v:shape>
            </w:pict>
          </mc:Fallback>
        </mc:AlternateContent>
      </w:r>
      <w:r>
        <w:rPr>
          <w:vertAlign w:val="subscript"/>
        </w:rPr>
        <mc:AlternateContent>
          <mc:Choice Requires="wps">
            <w:drawing>
              <wp:anchor distT="0" distB="0" distL="114300" distR="114300" simplePos="0" relativeHeight="251661312" behindDoc="0" locked="0" layoutInCell="1" allowOverlap="1">
                <wp:simplePos x="0" y="0"/>
                <wp:positionH relativeFrom="column">
                  <wp:posOffset>4133215</wp:posOffset>
                </wp:positionH>
                <wp:positionV relativeFrom="paragraph">
                  <wp:posOffset>8877300</wp:posOffset>
                </wp:positionV>
                <wp:extent cx="3554730" cy="465455"/>
                <wp:effectExtent l="0" t="0" r="0" b="0"/>
                <wp:wrapNone/>
                <wp:docPr id="12" name="文本框 61"/>
                <wp:cNvGraphicFramePr/>
                <a:graphic xmlns:a="http://schemas.openxmlformats.org/drawingml/2006/main">
                  <a:graphicData uri="http://schemas.microsoft.com/office/word/2010/wordprocessingShape">
                    <wps:wsp>
                      <wps:cNvSpPr txBox="1"/>
                      <wps:spPr>
                        <a:xfrm>
                          <a:off x="0" y="0"/>
                          <a:ext cx="3554730" cy="465455"/>
                        </a:xfrm>
                        <a:prstGeom prst="rect">
                          <a:avLst/>
                        </a:prstGeom>
                        <a:noFill/>
                        <a:ln w="9525">
                          <a:noFill/>
                        </a:ln>
                      </wps:spPr>
                      <wps:txbx>
                        <w:txbxContent>
                          <w:p>
                            <w:pPr>
                              <w:rPr>
                                <w:rFonts w:ascii="微软雅黑" w:hAnsi="微软雅黑" w:eastAsia="微软雅黑" w:cs="微软雅黑"/>
                                <w:color w:val="7F7F7F" w:themeColor="background1" w:themeShade="80"/>
                              </w:rPr>
                            </w:pPr>
                            <w:r>
                              <w:rPr>
                                <w:rFonts w:hint="eastAsia" w:ascii="微软雅黑" w:hAnsi="微软雅黑" w:eastAsia="微软雅黑" w:cs="微软雅黑"/>
                                <w:color w:val="7F7F7F" w:themeColor="background1" w:themeShade="80"/>
                              </w:rPr>
                              <w:t>深圳市海普洛斯生物科技有限公司</w:t>
                            </w:r>
                          </w:p>
                        </w:txbxContent>
                      </wps:txbx>
                      <wps:bodyPr vert="horz" anchor="t" upright="1"/>
                    </wps:wsp>
                  </a:graphicData>
                </a:graphic>
              </wp:anchor>
            </w:drawing>
          </mc:Choice>
          <mc:Fallback>
            <w:pict>
              <v:shape id="文本框 61" o:spid="_x0000_s1026" o:spt="202" type="#_x0000_t202" style="position:absolute;left:0pt;margin-left:325.45pt;margin-top:699pt;height:36.65pt;width:279.9pt;z-index:251661312;mso-width-relative:page;mso-height-relative:page;" filled="f" stroked="f" coordsize="21600,21600" o:gfxdata="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veQ969kAAAAO&#10;AQAADwAAAAAAAAABACAAAAAiAAAAZHJzL2Rvd25yZXYueG1sUEsBAhQAFAAAAAgAh07iQC9urDmp&#10;AQAAIgMAAA4AAAAAAAAAAQAgAAAAKAEAAGRycy9lMm9Eb2MueG1sUEsFBgAAAAAGAAYAWQEAAEMF&#10;AAAAAA==&#10;">
                <v:fill on="f" focussize="0,0"/>
                <v:stroke on="f"/>
                <v:imagedata o:title=""/>
                <o:lock v:ext="edit" aspectratio="f"/>
                <v:textbox>
                  <w:txbxContent>
                    <w:p>
                      <w:pPr>
                        <w:rPr>
                          <w:rFonts w:ascii="微软雅黑" w:hAnsi="微软雅黑" w:eastAsia="微软雅黑" w:cs="微软雅黑"/>
                          <w:color w:val="7F7F7F" w:themeColor="background1" w:themeShade="80"/>
                        </w:rPr>
                      </w:pPr>
                      <w:r>
                        <w:rPr>
                          <w:rFonts w:hint="eastAsia" w:ascii="微软雅黑" w:hAnsi="微软雅黑" w:eastAsia="微软雅黑" w:cs="微软雅黑"/>
                          <w:color w:val="7F7F7F" w:themeColor="background1" w:themeShade="80"/>
                        </w:rPr>
                        <w:t>深圳市海普洛斯生物科技有限公司</w:t>
                      </w:r>
                    </w:p>
                  </w:txbxContent>
                </v:textbox>
              </v:shape>
            </w:pict>
          </mc:Fallback>
        </mc:AlternateContent>
      </w:r>
    </w:p>
    <w:p>
      <w:pPr>
        <w:pStyle w:val="45"/>
        <w:spacing w:line="480" w:lineRule="auto"/>
        <w:ind w:firstLine="0" w:firstLineChars="0"/>
        <w:rPr>
          <w:rFonts w:ascii="微软雅黑" w:hAnsi="微软雅黑" w:eastAsia="微软雅黑" w:cstheme="majorBidi"/>
          <w:bCs/>
          <w:color w:val="000000" w:themeColor="text1"/>
          <w:sz w:val="36"/>
          <w:szCs w:val="36"/>
          <w:vertAlign w:val="subscript"/>
          <w14:textFill>
            <w14:solidFill>
              <w14:schemeClr w14:val="tx1"/>
            </w14:solidFill>
          </w14:textFill>
        </w:rPr>
      </w:pPr>
    </w:p>
    <w:p>
      <w:pPr>
        <w:rPr>
          <w:rFonts w:ascii="微软雅黑" w:hAnsi="微软雅黑" w:eastAsia="微软雅黑" w:cstheme="majorBidi"/>
          <w:bCs/>
          <w:color w:val="000000" w:themeColor="text1"/>
          <w:sz w:val="36"/>
          <w:szCs w:val="36"/>
          <w:vertAlign w:val="subscript"/>
          <w14:textFill>
            <w14:solidFill>
              <w14:schemeClr w14:val="tx1"/>
            </w14:solidFill>
          </w14:textFill>
        </w:rPr>
      </w:pPr>
    </w:p>
    <w:p>
      <w:pPr>
        <w:rPr>
          <w:rFonts w:ascii="微软雅黑" w:hAnsi="微软雅黑" w:eastAsia="微软雅黑" w:cstheme="majorBidi"/>
          <w:bCs/>
          <w:color w:val="000000" w:themeColor="text1"/>
          <w:sz w:val="36"/>
          <w:szCs w:val="36"/>
          <w:vertAlign w:val="subscript"/>
          <w14:textFill>
            <w14:solidFill>
              <w14:schemeClr w14:val="tx1"/>
            </w14:solidFill>
          </w14:textFill>
        </w:rPr>
      </w:pPr>
    </w:p>
    <w:p>
      <w:pPr>
        <w:rPr>
          <w:rFonts w:ascii="微软雅黑" w:hAnsi="微软雅黑" w:eastAsia="微软雅黑" w:cstheme="majorBidi"/>
          <w:bCs/>
          <w:color w:val="000000" w:themeColor="text1"/>
          <w:sz w:val="36"/>
          <w:szCs w:val="36"/>
          <w:vertAlign w:val="subscript"/>
          <w14:textFill>
            <w14:solidFill>
              <w14:schemeClr w14:val="tx1"/>
            </w14:solidFill>
          </w14:textFill>
        </w:rPr>
      </w:pPr>
    </w:p>
    <w:p>
      <w:pPr>
        <w:rPr>
          <w:rFonts w:ascii="微软雅黑" w:hAnsi="微软雅黑" w:eastAsia="微软雅黑" w:cstheme="majorBidi"/>
          <w:bCs/>
          <w:color w:val="000000" w:themeColor="text1"/>
          <w:sz w:val="36"/>
          <w:szCs w:val="36"/>
          <w:vertAlign w:val="subscript"/>
          <w14:textFill>
            <w14:solidFill>
              <w14:schemeClr w14:val="tx1"/>
            </w14:solidFill>
          </w14:textFill>
        </w:rPr>
      </w:pPr>
    </w:p>
    <w:p>
      <w:pPr>
        <w:rPr>
          <w:rFonts w:ascii="微软雅黑" w:hAnsi="微软雅黑" w:eastAsia="微软雅黑" w:cstheme="majorBidi"/>
          <w:bCs/>
          <w:color w:val="000000" w:themeColor="text1"/>
          <w:sz w:val="36"/>
          <w:szCs w:val="36"/>
          <w:vertAlign w:val="subscript"/>
          <w14:textFill>
            <w14:solidFill>
              <w14:schemeClr w14:val="tx1"/>
            </w14:solidFill>
          </w14:textFill>
        </w:rPr>
      </w:pPr>
    </w:p>
    <w:p>
      <w:pPr>
        <w:rPr>
          <w:rFonts w:ascii="微软雅黑" w:hAnsi="微软雅黑" w:eastAsia="微软雅黑" w:cstheme="majorBidi"/>
          <w:bCs/>
          <w:color w:val="000000" w:themeColor="text1"/>
          <w:sz w:val="36"/>
          <w:szCs w:val="36"/>
          <w:vertAlign w:val="subscript"/>
          <w14:textFill>
            <w14:solidFill>
              <w14:schemeClr w14:val="tx1"/>
            </w14:solidFill>
          </w14:textFill>
        </w:rPr>
      </w:pPr>
      <w:r>
        <w:rPr>
          <w:vertAlign w:val="subscript"/>
        </w:rPr>
        <mc:AlternateContent>
          <mc:Choice Requires="wps">
            <w:drawing>
              <wp:anchor distT="0" distB="0" distL="114300" distR="114300" simplePos="0" relativeHeight="251656192" behindDoc="0" locked="0" layoutInCell="1" allowOverlap="1">
                <wp:simplePos x="0" y="0"/>
                <wp:positionH relativeFrom="column">
                  <wp:posOffset>1320165</wp:posOffset>
                </wp:positionH>
                <wp:positionV relativeFrom="paragraph">
                  <wp:posOffset>138430</wp:posOffset>
                </wp:positionV>
                <wp:extent cx="2229485" cy="680085"/>
                <wp:effectExtent l="0" t="0" r="0" b="5715"/>
                <wp:wrapNone/>
                <wp:docPr id="9" name="文本框 53"/>
                <wp:cNvGraphicFramePr/>
                <a:graphic xmlns:a="http://schemas.openxmlformats.org/drawingml/2006/main">
                  <a:graphicData uri="http://schemas.microsoft.com/office/word/2010/wordprocessingShape">
                    <wps:wsp>
                      <wps:cNvSpPr txBox="1"/>
                      <wps:spPr>
                        <a:xfrm>
                          <a:off x="0" y="0"/>
                          <a:ext cx="2229485" cy="680085"/>
                        </a:xfrm>
                        <a:prstGeom prst="rect">
                          <a:avLst/>
                        </a:prstGeom>
                        <a:noFill/>
                        <a:ln w="9525">
                          <a:noFill/>
                        </a:ln>
                      </wps:spPr>
                      <wps:txbx>
                        <w:txbxContent>
                          <w:p>
                            <w:pPr>
                              <w:ind w:firstLine="800" w:firstLineChars="200"/>
                              <w:jc w:val="both"/>
                              <w:rPr>
                                <w:rFonts w:ascii="微软雅黑" w:hAnsi="微软雅黑" w:eastAsia="微软雅黑" w:cs="思源黑体 CN Regular"/>
                                <w:color w:val="7F7F7F" w:themeColor="background1" w:themeShade="80"/>
                                <w:sz w:val="40"/>
                                <w:szCs w:val="40"/>
                              </w:rPr>
                            </w:pPr>
                            <w:r>
                              <w:rPr>
                                <w:rFonts w:hint="eastAsia" w:ascii="微软雅黑" w:hAnsi="微软雅黑" w:eastAsia="微软雅黑" w:cs="思源黑体 CN Regular"/>
                                <w:color w:val="7F7F7F" w:themeColor="background1" w:themeShade="80"/>
                                <w:sz w:val="40"/>
                                <w:szCs w:val="40"/>
                              </w:rPr>
                              <w:t>基因检测报告</w:t>
                            </w:r>
                          </w:p>
                        </w:txbxContent>
                      </wps:txbx>
                      <wps:bodyPr vert="horz" anchor="t" upright="1"/>
                    </wps:wsp>
                  </a:graphicData>
                </a:graphic>
              </wp:anchor>
            </w:drawing>
          </mc:Choice>
          <mc:Fallback>
            <w:pict>
              <v:shape id="文本框 53" o:spid="_x0000_s1026" o:spt="202" type="#_x0000_t202" style="position:absolute;left:0pt;margin-left:103.95pt;margin-top:10.9pt;height:53.55pt;width:175.55pt;z-index:251656192;mso-width-relative:page;mso-height-relative:page;" filled="f" stroked="f" coordsize="21600,21600" o:gfxdata="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0hN2/XAAAACgEA&#10;AA8AAAAAAAAAAQAgAAAAIgAAAGRycy9kb3ducmV2LnhtbFBLAQIUABQAAAAIAIdO4kCw2T8EqQEA&#10;ACEDAAAOAAAAAAAAAAEAIAAAACYBAABkcnMvZTJvRG9jLnhtbFBLBQYAAAAABgAGAFkBAABBBQAA&#10;AAA=&#10;">
                <v:fill on="f" focussize="0,0"/>
                <v:stroke on="f"/>
                <v:imagedata o:title=""/>
                <o:lock v:ext="edit" aspectratio="f"/>
                <v:textbox>
                  <w:txbxContent>
                    <w:p>
                      <w:pPr>
                        <w:ind w:firstLine="800" w:firstLineChars="200"/>
                        <w:jc w:val="both"/>
                        <w:rPr>
                          <w:rFonts w:ascii="微软雅黑" w:hAnsi="微软雅黑" w:eastAsia="微软雅黑" w:cs="思源黑体 CN Regular"/>
                          <w:color w:val="7F7F7F" w:themeColor="background1" w:themeShade="80"/>
                          <w:sz w:val="40"/>
                          <w:szCs w:val="40"/>
                        </w:rPr>
                      </w:pPr>
                      <w:r>
                        <w:rPr>
                          <w:rFonts w:hint="eastAsia" w:ascii="微软雅黑" w:hAnsi="微软雅黑" w:eastAsia="微软雅黑" w:cs="思源黑体 CN Regular"/>
                          <w:color w:val="7F7F7F" w:themeColor="background1" w:themeShade="80"/>
                          <w:sz w:val="40"/>
                          <w:szCs w:val="40"/>
                        </w:rPr>
                        <w:t>基因检测报告</w:t>
                      </w:r>
                    </w:p>
                  </w:txbxContent>
                </v:textbox>
              </v:shape>
            </w:pict>
          </mc:Fallback>
        </mc:AlternateContent>
      </w:r>
    </w:p>
    <w:p>
      <w:pPr>
        <w:rPr>
          <w:rFonts w:ascii="微软雅黑" w:hAnsi="微软雅黑" w:eastAsia="微软雅黑" w:cstheme="majorBidi"/>
          <w:bCs/>
          <w:color w:val="000000" w:themeColor="text1"/>
          <w:sz w:val="36"/>
          <w:szCs w:val="36"/>
          <w:vertAlign w:val="subscript"/>
          <w14:textFill>
            <w14:solidFill>
              <w14:schemeClr w14:val="tx1"/>
            </w14:solidFill>
          </w14:textFill>
        </w:rPr>
      </w:pPr>
      <w:r>
        <w:rPr>
          <w:vertAlign w:val="subscript"/>
        </w:rPr>
        <mc:AlternateContent>
          <mc:Choice Requires="wps">
            <w:drawing>
              <wp:anchor distT="0" distB="0" distL="114300" distR="114300" simplePos="0" relativeHeight="251673600" behindDoc="0" locked="0" layoutInCell="1" allowOverlap="1">
                <wp:simplePos x="0" y="0"/>
                <wp:positionH relativeFrom="column">
                  <wp:posOffset>1789430</wp:posOffset>
                </wp:positionH>
                <wp:positionV relativeFrom="paragraph">
                  <wp:posOffset>151765</wp:posOffset>
                </wp:positionV>
                <wp:extent cx="2752725" cy="557530"/>
                <wp:effectExtent l="0" t="0" r="0" b="0"/>
                <wp:wrapNone/>
                <wp:docPr id="10" name="文本框 59"/>
                <wp:cNvGraphicFramePr/>
                <a:graphic xmlns:a="http://schemas.openxmlformats.org/drawingml/2006/main">
                  <a:graphicData uri="http://schemas.microsoft.com/office/word/2010/wordprocessingShape">
                    <wps:wsp>
                      <wps:cNvSpPr txBox="1"/>
                      <wps:spPr>
                        <a:xfrm>
                          <a:off x="0" y="0"/>
                          <a:ext cx="2752725" cy="557530"/>
                        </a:xfrm>
                        <a:prstGeom prst="rect">
                          <a:avLst/>
                        </a:prstGeom>
                        <a:noFill/>
                        <a:ln w="9525">
                          <a:noFill/>
                        </a:ln>
                      </wps:spPr>
                      <wps:txbx>
                        <w:txbxContent>
                          <w:p>
                            <w:pPr>
                              <w:rPr>
                                <w:rFonts w:ascii="微软雅黑" w:hAnsi="微软雅黑" w:eastAsia="微软雅黑" w:cs="微软雅黑"/>
                                <w:color w:val="A6A6A6" w:themeColor="background1" w:themeShade="A6"/>
                                <w:sz w:val="40"/>
                                <w:szCs w:val="28"/>
                              </w:rPr>
                            </w:pPr>
                            <w:r>
                              <w:rPr>
                                <w:rFonts w:ascii="微软雅黑" w:hAnsi="微软雅黑" w:eastAsia="微软雅黑" w:cs="微软雅黑"/>
                                <w:color w:val="BFBFBF" w:themeColor="background1" w:themeShade="BF"/>
                                <w:sz w:val="24"/>
                                <w:szCs w:val="28"/>
                              </w:rPr>
                              <w:t>High-Throughput Seq Report</w:t>
                            </w:r>
                            <w:r>
                              <w:rPr>
                                <w:rFonts w:ascii="微软雅黑" w:hAnsi="微软雅黑" w:eastAsia="微软雅黑" w:cs="微软雅黑"/>
                                <w:color w:val="BFBFBF" w:themeColor="background1" w:themeShade="BF"/>
                                <w:sz w:val="40"/>
                                <w:szCs w:val="28"/>
                              </w:rPr>
                              <w:t xml:space="preserve"> </w:t>
                            </w:r>
                          </w:p>
                          <w:p>
                            <w:pPr>
                              <w:rPr>
                                <w:rFonts w:ascii="微软雅黑" w:hAnsi="微软雅黑" w:eastAsia="微软雅黑" w:cs="微软雅黑"/>
                                <w:color w:val="A6A6A6" w:themeColor="background1" w:themeShade="A6"/>
                                <w:sz w:val="28"/>
                                <w:szCs w:val="28"/>
                              </w:rPr>
                            </w:pPr>
                          </w:p>
                        </w:txbxContent>
                      </wps:txbx>
                      <wps:bodyPr vert="horz" wrap="square" anchor="t" upright="1"/>
                    </wps:wsp>
                  </a:graphicData>
                </a:graphic>
              </wp:anchor>
            </w:drawing>
          </mc:Choice>
          <mc:Fallback>
            <w:pict>
              <v:shape id="文本框 59" o:spid="_x0000_s1026" o:spt="202" type="#_x0000_t202" style="position:absolute;left:0pt;margin-left:140.9pt;margin-top:11.95pt;height:43.9pt;width:216.75pt;z-index:251673600;mso-width-relative:page;mso-height-relative:page;" filled="f" stroked="f" coordsize="21600,21600" o:gfxdata="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d&#10;byCq2AAAAAoBAAAPAAAAAAAAAAEAIAAAACIAAABkcnMvZG93bnJldi54bWxQSwECFAAUAAAACACH&#10;TuJAA5CJ97IBAAAwAwAADgAAAAAAAAABACAAAAAnAQAAZHJzL2Uyb0RvYy54bWxQSwUGAAAAAAYA&#10;BgBZAQAASwUAAAAA&#10;">
                <v:fill on="f" focussize="0,0"/>
                <v:stroke on="f"/>
                <v:imagedata o:title=""/>
                <o:lock v:ext="edit" aspectratio="f"/>
                <v:textbox>
                  <w:txbxContent>
                    <w:p>
                      <w:pPr>
                        <w:rPr>
                          <w:rFonts w:ascii="微软雅黑" w:hAnsi="微软雅黑" w:eastAsia="微软雅黑" w:cs="微软雅黑"/>
                          <w:color w:val="A6A6A6" w:themeColor="background1" w:themeShade="A6"/>
                          <w:sz w:val="40"/>
                          <w:szCs w:val="28"/>
                        </w:rPr>
                      </w:pPr>
                      <w:r>
                        <w:rPr>
                          <w:rFonts w:ascii="微软雅黑" w:hAnsi="微软雅黑" w:eastAsia="微软雅黑" w:cs="微软雅黑"/>
                          <w:color w:val="BFBFBF" w:themeColor="background1" w:themeShade="BF"/>
                          <w:sz w:val="24"/>
                          <w:szCs w:val="28"/>
                        </w:rPr>
                        <w:t>High-Throughput Seq Report</w:t>
                      </w:r>
                      <w:r>
                        <w:rPr>
                          <w:rFonts w:ascii="微软雅黑" w:hAnsi="微软雅黑" w:eastAsia="微软雅黑" w:cs="微软雅黑"/>
                          <w:color w:val="BFBFBF" w:themeColor="background1" w:themeShade="BF"/>
                          <w:sz w:val="40"/>
                          <w:szCs w:val="28"/>
                        </w:rPr>
                        <w:t xml:space="preserve"> </w:t>
                      </w:r>
                    </w:p>
                    <w:p>
                      <w:pPr>
                        <w:rPr>
                          <w:rFonts w:ascii="微软雅黑" w:hAnsi="微软雅黑" w:eastAsia="微软雅黑" w:cs="微软雅黑"/>
                          <w:color w:val="A6A6A6" w:themeColor="background1" w:themeShade="A6"/>
                          <w:sz w:val="28"/>
                          <w:szCs w:val="28"/>
                        </w:rPr>
                      </w:pPr>
                    </w:p>
                  </w:txbxContent>
                </v:textbox>
              </v:shape>
            </w:pict>
          </mc:Fallback>
        </mc:AlternateContent>
      </w:r>
    </w:p>
    <w:p>
      <w:pPr>
        <w:rPr>
          <w:rFonts w:ascii="微软雅黑" w:hAnsi="微软雅黑" w:eastAsia="微软雅黑" w:cstheme="majorBidi"/>
          <w:bCs/>
          <w:color w:val="000000" w:themeColor="text1"/>
          <w:sz w:val="36"/>
          <w:szCs w:val="36"/>
          <w:vertAlign w:val="subscript"/>
          <w14:textFill>
            <w14:solidFill>
              <w14:schemeClr w14:val="tx1"/>
            </w14:solidFill>
          </w14:textFill>
        </w:rPr>
      </w:pPr>
    </w:p>
    <w:p>
      <w:pPr>
        <w:rPr>
          <w:rFonts w:ascii="微软雅黑" w:hAnsi="微软雅黑" w:eastAsia="微软雅黑" w:cstheme="majorBidi"/>
          <w:bCs/>
          <w:color w:val="000000" w:themeColor="text1"/>
          <w:sz w:val="36"/>
          <w:szCs w:val="36"/>
          <w:vertAlign w:val="subscript"/>
          <w14:textFill>
            <w14:solidFill>
              <w14:schemeClr w14:val="tx1"/>
            </w14:solidFill>
          </w14:textFill>
        </w:rPr>
      </w:pPr>
    </w:p>
    <w:p>
      <w:pPr>
        <w:rPr>
          <w:rFonts w:ascii="微软雅黑" w:hAnsi="微软雅黑" w:eastAsia="微软雅黑" w:cstheme="majorBidi"/>
          <w:bCs/>
          <w:color w:val="000000" w:themeColor="text1"/>
          <w:sz w:val="36"/>
          <w:szCs w:val="36"/>
          <w:vertAlign w:val="subscript"/>
          <w14:textFill>
            <w14:solidFill>
              <w14:schemeClr w14:val="tx1"/>
            </w14:solidFill>
          </w14:textFill>
        </w:rPr>
      </w:pPr>
    </w:p>
    <w:p>
      <w:pPr>
        <w:rPr>
          <w:rFonts w:ascii="微软雅黑" w:hAnsi="微软雅黑" w:eastAsia="微软雅黑" w:cstheme="majorBidi"/>
          <w:bCs/>
          <w:color w:val="000000" w:themeColor="text1"/>
          <w:sz w:val="36"/>
          <w:szCs w:val="36"/>
          <w:vertAlign w:val="subscript"/>
          <w14:textFill>
            <w14:solidFill>
              <w14:schemeClr w14:val="tx1"/>
            </w14:solidFill>
          </w14:textFill>
        </w:rPr>
      </w:pPr>
    </w:p>
    <w:p>
      <w:pPr>
        <w:rPr>
          <w:rFonts w:ascii="微软雅黑" w:hAnsi="微软雅黑" w:eastAsia="微软雅黑" w:cstheme="majorBidi"/>
          <w:bCs/>
          <w:color w:val="000000" w:themeColor="text1"/>
          <w:sz w:val="36"/>
          <w:szCs w:val="36"/>
          <w:vertAlign w:val="subscript"/>
          <w14:textFill>
            <w14:solidFill>
              <w14:schemeClr w14:val="tx1"/>
            </w14:solidFill>
          </w14:textFill>
        </w:rPr>
      </w:pPr>
    </w:p>
    <w:p>
      <w:pPr>
        <w:rPr>
          <w:rFonts w:ascii="微软雅黑" w:hAnsi="微软雅黑" w:eastAsia="微软雅黑" w:cstheme="majorBidi"/>
          <w:bCs/>
          <w:color w:val="000000" w:themeColor="text1"/>
          <w:sz w:val="36"/>
          <w:szCs w:val="36"/>
          <w:vertAlign w:val="subscript"/>
          <w14:textFill>
            <w14:solidFill>
              <w14:schemeClr w14:val="tx1"/>
            </w14:solidFill>
          </w14:textFill>
        </w:rPr>
      </w:pPr>
    </w:p>
    <w:p>
      <w:pPr>
        <w:tabs>
          <w:tab w:val="left" w:pos="1387"/>
        </w:tabs>
        <w:rPr>
          <w:rFonts w:ascii="微软雅黑" w:hAnsi="微软雅黑" w:eastAsia="微软雅黑" w:cstheme="majorBidi"/>
          <w:bCs/>
          <w:color w:val="000000" w:themeColor="text1"/>
          <w:sz w:val="36"/>
          <w:szCs w:val="36"/>
          <w:vertAlign w:val="subscript"/>
          <w14:textFill>
            <w14:solidFill>
              <w14:schemeClr w14:val="tx1"/>
            </w14:solidFill>
          </w14:textFill>
        </w:rPr>
        <w:sectPr>
          <w:headerReference r:id="rId4" w:type="first"/>
          <w:headerReference r:id="rId3" w:type="default"/>
          <w:footerReference r:id="rId5" w:type="default"/>
          <w:pgSz w:w="11850" w:h="16783"/>
          <w:pgMar w:top="1440" w:right="1080" w:bottom="1440" w:left="1080" w:header="851" w:footer="992" w:gutter="0"/>
          <w:pgNumType w:start="0"/>
          <w:cols w:space="425" w:num="1"/>
          <w:titlePg/>
          <w:docGrid w:type="lines" w:linePitch="312" w:charSpace="0"/>
        </w:sectPr>
      </w:pPr>
      <w:r>
        <w:rPr>
          <w:rFonts w:hint="eastAsia" w:ascii="微软雅黑" w:hAnsi="微软雅黑" w:eastAsia="微软雅黑" w:cstheme="majorBidi"/>
          <w:bCs/>
          <w:color w:val="000000" w:themeColor="text1"/>
          <w:sz w:val="36"/>
          <w:szCs w:val="36"/>
          <w:vertAlign w:val="subscript"/>
          <w14:textFill>
            <w14:solidFill>
              <w14:schemeClr w14:val="tx1"/>
            </w14:solidFill>
          </w14:textFill>
        </w:rPr>
        <w:tab/>
      </w:r>
    </w:p>
    <w:sdt>
      <w:sdtPr>
        <w:rPr>
          <w:rFonts w:ascii="Times" w:hAnsi="Times" w:eastAsiaTheme="minorEastAsia" w:cstheme="minorBidi"/>
          <w:color w:val="auto"/>
          <w:sz w:val="20"/>
          <w:szCs w:val="20"/>
          <w:lang w:val="zh-CN"/>
        </w:rPr>
        <w:id w:val="-345023762"/>
      </w:sdtPr>
      <w:sdtEndPr>
        <w:rPr>
          <w:rFonts w:ascii="Times" w:hAnsi="Times" w:eastAsiaTheme="minorEastAsia" w:cstheme="minorBidi"/>
          <w:b/>
          <w:bCs/>
          <w:color w:val="auto"/>
          <w:sz w:val="20"/>
          <w:szCs w:val="20"/>
          <w:lang w:val="zh-CN"/>
        </w:rPr>
      </w:sdtEndPr>
      <w:sdtContent>
        <w:p>
          <w:pPr>
            <w:pStyle w:val="52"/>
            <w:rPr>
              <w:b/>
              <w:szCs w:val="20"/>
            </w:rPr>
          </w:pPr>
          <w:bookmarkStart w:id="0" w:name="OLE_LINK11"/>
          <w:r>
            <w:rPr>
              <w:b/>
              <w:szCs w:val="20"/>
              <w:lang w:val="zh-CN"/>
            </w:rPr>
            <w:t>目录</w:t>
          </w:r>
        </w:p>
        <w:p>
          <w:pPr>
            <w:pStyle w:val="11"/>
            <w:tabs>
              <w:tab w:val="right" w:leader="dot" w:pos="9680"/>
            </w:tabs>
            <w:rPr>
              <w:rFonts w:asciiTheme="minorHAnsi" w:hAnsiTheme="minorHAnsi"/>
              <w:kern w:val="2"/>
              <w:sz w:val="21"/>
              <w:szCs w:val="22"/>
            </w:rPr>
          </w:pPr>
          <w:r>
            <w:fldChar w:fldCharType="begin"/>
          </w:r>
          <w:r>
            <w:instrText xml:space="preserve"> TOC \o "1-3" \h \z \u </w:instrText>
          </w:r>
          <w:r>
            <w:fldChar w:fldCharType="separate"/>
          </w:r>
          <w:r>
            <w:fldChar w:fldCharType="begin"/>
          </w:r>
          <w:r>
            <w:instrText xml:space="preserve"> HYPERLINK \l "_Toc487814216" </w:instrText>
          </w:r>
          <w:r>
            <w:fldChar w:fldCharType="separate"/>
          </w:r>
          <w:r>
            <w:rPr>
              <w:rStyle w:val="20"/>
              <w:rFonts w:ascii="微软雅黑" w:hAnsi="微软雅黑" w:eastAsia="微软雅黑" w:cstheme="majorBidi"/>
            </w:rPr>
            <w:t>临床信息</w:t>
          </w:r>
          <w:r>
            <w:tab/>
          </w:r>
          <w:r>
            <w:fldChar w:fldCharType="begin"/>
          </w:r>
          <w:r>
            <w:instrText xml:space="preserve"> PAGEREF _Toc487814216 \h </w:instrText>
          </w:r>
          <w:r>
            <w:fldChar w:fldCharType="separate"/>
          </w:r>
          <w:r>
            <w:t>1</w:t>
          </w:r>
          <w:r>
            <w:fldChar w:fldCharType="end"/>
          </w:r>
          <w:r>
            <w:fldChar w:fldCharType="end"/>
          </w:r>
        </w:p>
        <w:p>
          <w:pPr>
            <w:pStyle w:val="11"/>
            <w:tabs>
              <w:tab w:val="right" w:leader="dot" w:pos="9680"/>
            </w:tabs>
            <w:rPr>
              <w:rFonts w:asciiTheme="minorHAnsi" w:hAnsiTheme="minorHAnsi"/>
              <w:kern w:val="2"/>
              <w:sz w:val="21"/>
              <w:szCs w:val="22"/>
            </w:rPr>
          </w:pPr>
          <w:r>
            <w:fldChar w:fldCharType="begin"/>
          </w:r>
          <w:r>
            <w:instrText xml:space="preserve"> HYPERLINK \l "_Toc487814217" </w:instrText>
          </w:r>
          <w:r>
            <w:fldChar w:fldCharType="separate"/>
          </w:r>
          <w:r>
            <w:rPr>
              <w:rStyle w:val="20"/>
              <w:rFonts w:ascii="微软雅黑" w:hAnsi="微软雅黑" w:eastAsia="微软雅黑"/>
            </w:rPr>
            <w:t>样本信息</w:t>
          </w:r>
          <w:r>
            <w:tab/>
          </w:r>
          <w:r>
            <w:fldChar w:fldCharType="begin"/>
          </w:r>
          <w:r>
            <w:instrText xml:space="preserve"> PAGEREF _Toc487814217 \h </w:instrText>
          </w:r>
          <w:r>
            <w:fldChar w:fldCharType="separate"/>
          </w:r>
          <w:r>
            <w:t>1</w:t>
          </w:r>
          <w:r>
            <w:fldChar w:fldCharType="end"/>
          </w:r>
          <w:r>
            <w:fldChar w:fldCharType="end"/>
          </w:r>
        </w:p>
        <w:p>
          <w:pPr>
            <w:pStyle w:val="11"/>
            <w:tabs>
              <w:tab w:val="right" w:leader="dot" w:pos="9680"/>
            </w:tabs>
            <w:rPr>
              <w:rFonts w:asciiTheme="minorHAnsi" w:hAnsiTheme="minorHAnsi"/>
              <w:kern w:val="2"/>
              <w:sz w:val="21"/>
              <w:szCs w:val="22"/>
            </w:rPr>
          </w:pPr>
          <w:r>
            <w:fldChar w:fldCharType="begin"/>
          </w:r>
          <w:r>
            <w:instrText xml:space="preserve"> HYPERLINK \l "_Toc487814218" </w:instrText>
          </w:r>
          <w:r>
            <w:fldChar w:fldCharType="separate"/>
          </w:r>
          <w:r>
            <w:rPr>
              <w:rStyle w:val="20"/>
              <w:rFonts w:ascii="微软雅黑" w:hAnsi="微软雅黑" w:eastAsia="微软雅黑"/>
            </w:rPr>
            <w:t>检测内容</w:t>
          </w:r>
          <w:r>
            <w:tab/>
          </w:r>
          <w:r>
            <w:fldChar w:fldCharType="begin"/>
          </w:r>
          <w:r>
            <w:instrText xml:space="preserve"> PAGEREF _Toc487814218 \h </w:instrText>
          </w:r>
          <w:r>
            <w:fldChar w:fldCharType="separate"/>
          </w:r>
          <w:r>
            <w:t>1</w:t>
          </w:r>
          <w:r>
            <w:fldChar w:fldCharType="end"/>
          </w:r>
          <w:r>
            <w:fldChar w:fldCharType="end"/>
          </w:r>
        </w:p>
        <w:p>
          <w:pPr>
            <w:pStyle w:val="11"/>
            <w:tabs>
              <w:tab w:val="right" w:leader="dot" w:pos="9680"/>
            </w:tabs>
            <w:rPr>
              <w:rFonts w:asciiTheme="minorHAnsi" w:hAnsiTheme="minorHAnsi"/>
              <w:kern w:val="2"/>
              <w:sz w:val="21"/>
              <w:szCs w:val="22"/>
            </w:rPr>
          </w:pPr>
          <w:r>
            <w:fldChar w:fldCharType="begin"/>
          </w:r>
          <w:r>
            <w:instrText xml:space="preserve"> HYPERLINK "file:///\\\\192.168.1.11\\hapreports\\遗传咨询待发送\\7.14\\2017-07-18%20冯要强-胶质瘤-组织86-PIK3CA-exon20.docx" \l "_Toc487814219" </w:instrText>
          </w:r>
          <w:r>
            <w:fldChar w:fldCharType="separate"/>
          </w:r>
          <w:r>
            <w:rPr>
              <w:rStyle w:val="20"/>
              <w:rFonts w:ascii="微软雅黑" w:hAnsi="微软雅黑" w:eastAsia="微软雅黑" w:cs="微软雅黑"/>
            </w:rPr>
            <w:t>检测结果</w:t>
          </w:r>
          <w:r>
            <w:tab/>
          </w:r>
          <w:r>
            <w:fldChar w:fldCharType="begin"/>
          </w:r>
          <w:r>
            <w:instrText xml:space="preserve"> PAGEREF _Toc487814219 \h </w:instrText>
          </w:r>
          <w:r>
            <w:fldChar w:fldCharType="separate"/>
          </w:r>
          <w:r>
            <w:t>2</w:t>
          </w:r>
          <w:r>
            <w:fldChar w:fldCharType="end"/>
          </w:r>
          <w:r>
            <w:fldChar w:fldCharType="end"/>
          </w:r>
        </w:p>
        <w:p>
          <w:pPr>
            <w:pStyle w:val="11"/>
            <w:tabs>
              <w:tab w:val="right" w:leader="dot" w:pos="9680"/>
            </w:tabs>
            <w:rPr>
              <w:rFonts w:asciiTheme="minorHAnsi" w:hAnsiTheme="minorHAnsi"/>
              <w:kern w:val="2"/>
              <w:sz w:val="21"/>
              <w:szCs w:val="22"/>
            </w:rPr>
          </w:pPr>
          <w:r>
            <w:fldChar w:fldCharType="begin"/>
          </w:r>
          <w:r>
            <w:instrText xml:space="preserve"> HYPERLINK "file:///\\\\192.168.1.11\\hapreports\\遗传咨询待发送\\7.14\\2017-07-18%20冯要强-胶质瘤-组织86-PIK3CA-exon20.docx" \l "_Toc487814220" </w:instrText>
          </w:r>
          <w:r>
            <w:fldChar w:fldCharType="separate"/>
          </w:r>
          <w:r>
            <w:rPr>
              <w:rStyle w:val="20"/>
              <w:rFonts w:ascii="微软雅黑" w:hAnsi="微软雅黑" w:eastAsia="微软雅黑"/>
            </w:rPr>
            <w:t>化疗相关基因SNP结果解析</w:t>
          </w:r>
          <w:r>
            <w:tab/>
          </w:r>
          <w:r>
            <w:fldChar w:fldCharType="begin"/>
          </w:r>
          <w:r>
            <w:instrText xml:space="preserve"> PAGEREF _Toc487814220 \h </w:instrText>
          </w:r>
          <w:r>
            <w:fldChar w:fldCharType="separate"/>
          </w:r>
          <w:r>
            <w:t>5</w:t>
          </w:r>
          <w:r>
            <w:fldChar w:fldCharType="end"/>
          </w:r>
          <w:r>
            <w:fldChar w:fldCharType="end"/>
          </w:r>
        </w:p>
        <w:p>
          <w:pPr>
            <w:pStyle w:val="11"/>
            <w:tabs>
              <w:tab w:val="right" w:leader="dot" w:pos="9680"/>
            </w:tabs>
            <w:rPr>
              <w:rFonts w:asciiTheme="minorHAnsi" w:hAnsiTheme="minorHAnsi"/>
              <w:kern w:val="2"/>
              <w:sz w:val="21"/>
              <w:szCs w:val="22"/>
            </w:rPr>
          </w:pPr>
          <w:r>
            <w:fldChar w:fldCharType="begin"/>
          </w:r>
          <w:r>
            <w:instrText xml:space="preserve"> HYPERLINK "file:///\\\\192.168.1.11\\hapreports\\遗传咨询待发送\\7.14\\2017-07-18%20冯要强-胶质瘤-组织86-PIK3CA-exon20.docx" \l "_Toc487814221" </w:instrText>
          </w:r>
          <w:r>
            <w:fldChar w:fldCharType="separate"/>
          </w:r>
          <w:r>
            <w:rPr>
              <w:rStyle w:val="20"/>
              <w:rFonts w:ascii="微软雅黑" w:hAnsi="微软雅黑" w:eastAsia="微软雅黑"/>
            </w:rPr>
            <w:t>胶质瘤相关临床试验</w:t>
          </w:r>
          <w:r>
            <w:tab/>
          </w:r>
          <w:r>
            <w:fldChar w:fldCharType="begin"/>
          </w:r>
          <w:r>
            <w:instrText xml:space="preserve"> PAGEREF _Toc487814221 \h </w:instrText>
          </w:r>
          <w:r>
            <w:fldChar w:fldCharType="separate"/>
          </w:r>
          <w:r>
            <w:t>12</w:t>
          </w:r>
          <w:r>
            <w:fldChar w:fldCharType="end"/>
          </w:r>
          <w:r>
            <w:fldChar w:fldCharType="end"/>
          </w:r>
        </w:p>
        <w:p>
          <w:pPr>
            <w:pStyle w:val="11"/>
            <w:tabs>
              <w:tab w:val="right" w:leader="dot" w:pos="9680"/>
            </w:tabs>
            <w:rPr>
              <w:rFonts w:asciiTheme="minorHAnsi" w:hAnsiTheme="minorHAnsi"/>
              <w:kern w:val="2"/>
              <w:sz w:val="21"/>
              <w:szCs w:val="22"/>
            </w:rPr>
          </w:pPr>
          <w:r>
            <w:fldChar w:fldCharType="begin"/>
          </w:r>
          <w:r>
            <w:instrText xml:space="preserve"> HYPERLINK \l "_Toc487814222" </w:instrText>
          </w:r>
          <w:r>
            <w:fldChar w:fldCharType="separate"/>
          </w:r>
          <w:r>
            <w:rPr>
              <w:rStyle w:val="20"/>
              <w:rFonts w:ascii="微软雅黑" w:hAnsi="微软雅黑" w:eastAsia="微软雅黑"/>
            </w:rPr>
            <w:t>附录一：HapOnco海普安可—肿瘤临床用药86基因列表</w:t>
          </w:r>
          <w:r>
            <w:tab/>
          </w:r>
          <w:r>
            <w:fldChar w:fldCharType="begin"/>
          </w:r>
          <w:r>
            <w:instrText xml:space="preserve"> PAGEREF _Toc487814222 \h </w:instrText>
          </w:r>
          <w:r>
            <w:fldChar w:fldCharType="separate"/>
          </w:r>
          <w:r>
            <w:t>13</w:t>
          </w:r>
          <w:r>
            <w:fldChar w:fldCharType="end"/>
          </w:r>
          <w:r>
            <w:fldChar w:fldCharType="end"/>
          </w:r>
        </w:p>
        <w:p>
          <w:pPr>
            <w:pStyle w:val="11"/>
            <w:tabs>
              <w:tab w:val="right" w:leader="dot" w:pos="9680"/>
            </w:tabs>
            <w:rPr>
              <w:rFonts w:asciiTheme="minorHAnsi" w:hAnsiTheme="minorHAnsi"/>
              <w:kern w:val="2"/>
              <w:sz w:val="21"/>
              <w:szCs w:val="22"/>
            </w:rPr>
          </w:pPr>
          <w:r>
            <w:fldChar w:fldCharType="begin"/>
          </w:r>
          <w:r>
            <w:instrText xml:space="preserve"> HYPERLINK \l "_Toc487814223" </w:instrText>
          </w:r>
          <w:r>
            <w:fldChar w:fldCharType="separate"/>
          </w:r>
          <w:r>
            <w:rPr>
              <w:rStyle w:val="20"/>
              <w:rFonts w:ascii="微软雅黑" w:hAnsi="微软雅黑" w:eastAsia="微软雅黑"/>
              <w:bCs/>
              <w:kern w:val="44"/>
            </w:rPr>
            <w:t>附录二：体细胞变异列表</w:t>
          </w:r>
          <w:r>
            <w:tab/>
          </w:r>
          <w:r>
            <w:fldChar w:fldCharType="begin"/>
          </w:r>
          <w:r>
            <w:instrText xml:space="preserve"> PAGEREF _Toc487814223 \h </w:instrText>
          </w:r>
          <w:r>
            <w:fldChar w:fldCharType="separate"/>
          </w:r>
          <w:r>
            <w:t>14</w:t>
          </w:r>
          <w:r>
            <w:fldChar w:fldCharType="end"/>
          </w:r>
          <w:r>
            <w:fldChar w:fldCharType="end"/>
          </w:r>
        </w:p>
        <w:p>
          <w:pPr>
            <w:pStyle w:val="11"/>
            <w:tabs>
              <w:tab w:val="right" w:leader="dot" w:pos="9680"/>
            </w:tabs>
            <w:rPr>
              <w:rFonts w:asciiTheme="minorHAnsi" w:hAnsiTheme="minorHAnsi"/>
              <w:kern w:val="2"/>
              <w:sz w:val="21"/>
              <w:szCs w:val="22"/>
            </w:rPr>
          </w:pPr>
          <w:r>
            <w:fldChar w:fldCharType="begin"/>
          </w:r>
          <w:r>
            <w:instrText xml:space="preserve"> HYPERLINK \l "_Toc487814224" </w:instrText>
          </w:r>
          <w:r>
            <w:fldChar w:fldCharType="separate"/>
          </w:r>
          <w:r>
            <w:rPr>
              <w:rStyle w:val="20"/>
              <w:rFonts w:ascii="微软雅黑" w:hAnsi="微软雅黑" w:eastAsia="微软雅黑"/>
              <w:bCs/>
              <w:kern w:val="44"/>
            </w:rPr>
            <w:t>附录三：相关检测基因解析</w:t>
          </w:r>
          <w:r>
            <w:tab/>
          </w:r>
          <w:r>
            <w:fldChar w:fldCharType="begin"/>
          </w:r>
          <w:r>
            <w:instrText xml:space="preserve"> PAGEREF _Toc487814224 \h </w:instrText>
          </w:r>
          <w:r>
            <w:fldChar w:fldCharType="separate"/>
          </w:r>
          <w:r>
            <w:t>15</w:t>
          </w:r>
          <w:r>
            <w:fldChar w:fldCharType="end"/>
          </w:r>
          <w:r>
            <w:fldChar w:fldCharType="end"/>
          </w:r>
        </w:p>
        <w:p>
          <w:pPr>
            <w:pStyle w:val="11"/>
            <w:tabs>
              <w:tab w:val="right" w:leader="dot" w:pos="9680"/>
            </w:tabs>
            <w:rPr>
              <w:rFonts w:asciiTheme="minorHAnsi" w:hAnsiTheme="minorHAnsi"/>
              <w:kern w:val="2"/>
              <w:sz w:val="21"/>
              <w:szCs w:val="22"/>
            </w:rPr>
          </w:pPr>
          <w:r>
            <w:fldChar w:fldCharType="begin"/>
          </w:r>
          <w:r>
            <w:instrText xml:space="preserve"> HYPERLINK \l "_Toc487814225" </w:instrText>
          </w:r>
          <w:r>
            <w:fldChar w:fldCharType="separate"/>
          </w:r>
          <w:r>
            <w:rPr>
              <w:rStyle w:val="20"/>
              <w:rFonts w:ascii="微软雅黑" w:hAnsi="微软雅黑" w:eastAsia="微软雅黑"/>
            </w:rPr>
            <w:t>附录四：</w:t>
          </w:r>
          <w:r>
            <w:rPr>
              <w:rStyle w:val="20"/>
              <w:rFonts w:ascii="微软雅黑" w:hAnsi="微软雅黑" w:eastAsia="微软雅黑" w:cs="微软雅黑"/>
            </w:rPr>
            <w:t>常见</w:t>
          </w:r>
          <w:r>
            <w:rPr>
              <w:rStyle w:val="20"/>
              <w:rFonts w:ascii="微软雅黑" w:hAnsi="微软雅黑" w:eastAsia="微软雅黑"/>
            </w:rPr>
            <w:t>靶向药物相关基因解释</w:t>
          </w:r>
          <w:r>
            <w:tab/>
          </w:r>
          <w:r>
            <w:fldChar w:fldCharType="begin"/>
          </w:r>
          <w:r>
            <w:instrText xml:space="preserve"> PAGEREF _Toc487814225 \h </w:instrText>
          </w:r>
          <w:r>
            <w:fldChar w:fldCharType="separate"/>
          </w:r>
          <w:r>
            <w:t>18</w:t>
          </w:r>
          <w:r>
            <w:fldChar w:fldCharType="end"/>
          </w:r>
          <w:r>
            <w:fldChar w:fldCharType="end"/>
          </w:r>
        </w:p>
        <w:p>
          <w:pPr>
            <w:pStyle w:val="11"/>
            <w:tabs>
              <w:tab w:val="right" w:leader="dot" w:pos="9680"/>
            </w:tabs>
            <w:rPr>
              <w:rFonts w:asciiTheme="minorHAnsi" w:hAnsiTheme="minorHAnsi"/>
              <w:kern w:val="2"/>
              <w:sz w:val="21"/>
              <w:szCs w:val="22"/>
            </w:rPr>
          </w:pPr>
          <w:r>
            <w:fldChar w:fldCharType="begin"/>
          </w:r>
          <w:r>
            <w:instrText xml:space="preserve"> HYPERLINK \l "_Toc487814226" </w:instrText>
          </w:r>
          <w:r>
            <w:fldChar w:fldCharType="separate"/>
          </w:r>
          <w:r>
            <w:rPr>
              <w:rStyle w:val="20"/>
              <w:rFonts w:ascii="微软雅黑" w:hAnsi="微软雅黑" w:eastAsia="微软雅黑"/>
            </w:rPr>
            <w:t>附录五：检测流程</w:t>
          </w:r>
          <w:r>
            <w:tab/>
          </w:r>
          <w:r>
            <w:fldChar w:fldCharType="begin"/>
          </w:r>
          <w:r>
            <w:instrText xml:space="preserve"> PAGEREF _Toc487814226 \h </w:instrText>
          </w:r>
          <w:r>
            <w:fldChar w:fldCharType="separate"/>
          </w:r>
          <w:r>
            <w:t>21</w:t>
          </w:r>
          <w:r>
            <w:fldChar w:fldCharType="end"/>
          </w:r>
          <w:r>
            <w:fldChar w:fldCharType="end"/>
          </w:r>
        </w:p>
        <w:p>
          <w:pPr>
            <w:pStyle w:val="11"/>
            <w:tabs>
              <w:tab w:val="right" w:leader="dot" w:pos="9680"/>
            </w:tabs>
            <w:rPr>
              <w:rFonts w:asciiTheme="minorHAnsi" w:hAnsiTheme="minorHAnsi"/>
              <w:kern w:val="2"/>
              <w:sz w:val="21"/>
              <w:szCs w:val="22"/>
            </w:rPr>
          </w:pPr>
          <w:r>
            <w:fldChar w:fldCharType="begin"/>
          </w:r>
          <w:r>
            <w:instrText xml:space="preserve"> HYPERLINK \l "_Toc487814227" </w:instrText>
          </w:r>
          <w:r>
            <w:fldChar w:fldCharType="separate"/>
          </w:r>
          <w:r>
            <w:rPr>
              <w:rStyle w:val="20"/>
              <w:rFonts w:ascii="微软雅黑" w:hAnsi="微软雅黑" w:eastAsia="微软雅黑"/>
            </w:rPr>
            <w:t>参考文献</w:t>
          </w:r>
          <w:r>
            <w:tab/>
          </w:r>
          <w:r>
            <w:fldChar w:fldCharType="begin"/>
          </w:r>
          <w:r>
            <w:instrText xml:space="preserve"> PAGEREF _Toc487814227 \h </w:instrText>
          </w:r>
          <w:r>
            <w:fldChar w:fldCharType="separate"/>
          </w:r>
          <w:r>
            <w:t>22</w:t>
          </w:r>
          <w:r>
            <w:fldChar w:fldCharType="end"/>
          </w:r>
          <w:r>
            <w:fldChar w:fldCharType="end"/>
          </w:r>
        </w:p>
        <w:p>
          <w:pPr>
            <w:rPr>
              <w:b/>
              <w:bCs/>
              <w:lang w:val="zh-CN"/>
            </w:rPr>
          </w:pPr>
          <w:r>
            <w:rPr>
              <w:bCs/>
              <w:lang w:val="zh-CN"/>
            </w:rPr>
            <w:fldChar w:fldCharType="end"/>
          </w:r>
        </w:p>
        <w:p>
          <w:pPr>
            <w:rPr>
              <w:b/>
              <w:bCs/>
              <w:lang w:val="zh-CN"/>
            </w:rPr>
          </w:pPr>
        </w:p>
        <w:p>
          <w:pPr>
            <w:tabs>
              <w:tab w:val="right" w:pos="9690"/>
            </w:tabs>
            <w:rPr>
              <w:b/>
              <w:bCs/>
              <w:lang w:val="zh-CN"/>
            </w:rPr>
          </w:pPr>
        </w:p>
        <w:p>
          <w:pPr>
            <w:tabs>
              <w:tab w:val="right" w:pos="9690"/>
            </w:tabs>
            <w:rPr>
              <w:b/>
              <w:bCs/>
              <w:lang w:val="zh-CN"/>
            </w:rPr>
          </w:pPr>
        </w:p>
        <w:p>
          <w:pPr>
            <w:tabs>
              <w:tab w:val="right" w:pos="9690"/>
            </w:tabs>
            <w:rPr>
              <w:b/>
              <w:bCs/>
              <w:lang w:val="zh-CN"/>
            </w:rPr>
          </w:pPr>
        </w:p>
        <w:p>
          <w:pPr>
            <w:tabs>
              <w:tab w:val="right" w:pos="9690"/>
            </w:tabs>
            <w:rPr>
              <w:b/>
              <w:bCs/>
              <w:lang w:val="zh-CN"/>
            </w:rPr>
          </w:pPr>
        </w:p>
        <w:p>
          <w:pPr>
            <w:tabs>
              <w:tab w:val="right" w:pos="9690"/>
            </w:tabs>
            <w:rPr>
              <w:b/>
              <w:bCs/>
              <w:lang w:val="zh-CN"/>
            </w:rPr>
          </w:pPr>
        </w:p>
        <w:p>
          <w:pPr>
            <w:tabs>
              <w:tab w:val="right" w:pos="9690"/>
            </w:tabs>
            <w:rPr>
              <w:b/>
              <w:bCs/>
              <w:lang w:val="zh-CN"/>
            </w:rPr>
          </w:pPr>
        </w:p>
        <w:p>
          <w:pPr>
            <w:tabs>
              <w:tab w:val="right" w:pos="9690"/>
            </w:tabs>
            <w:rPr>
              <w:b/>
              <w:bCs/>
              <w:lang w:val="zh-CN"/>
            </w:rPr>
          </w:pPr>
        </w:p>
        <w:p>
          <w:pPr>
            <w:tabs>
              <w:tab w:val="right" w:pos="9690"/>
            </w:tabs>
            <w:rPr>
              <w:b/>
              <w:bCs/>
              <w:lang w:val="zh-CN"/>
            </w:rPr>
          </w:pPr>
        </w:p>
        <w:p>
          <w:pPr>
            <w:tabs>
              <w:tab w:val="right" w:pos="9690"/>
            </w:tabs>
            <w:rPr>
              <w:b/>
              <w:bCs/>
              <w:lang w:val="zh-CN"/>
            </w:rPr>
          </w:pPr>
          <w:r>
            <w:rPr>
              <w:b/>
              <w:bCs/>
              <w:lang w:val="zh-CN"/>
            </w:rPr>
            <w:tab/>
          </w:r>
        </w:p>
      </w:sdtContent>
    </w:sdt>
    <w:p>
      <w:pPr>
        <w:pStyle w:val="2"/>
        <w:rPr>
          <w:rFonts w:ascii="微软雅黑" w:hAnsi="微软雅黑" w:eastAsia="微软雅黑" w:cstheme="majorBidi"/>
          <w:b w:val="0"/>
          <w:bCs w:val="0"/>
          <w:color w:val="000000" w:themeColor="text1"/>
          <w:sz w:val="36"/>
          <w:szCs w:val="36"/>
          <w14:textFill>
            <w14:solidFill>
              <w14:schemeClr w14:val="tx1"/>
            </w14:solidFill>
          </w14:textFill>
        </w:rPr>
        <w:sectPr>
          <w:headerReference r:id="rId6" w:type="first"/>
          <w:footerReference r:id="rId7" w:type="first"/>
          <w:pgSz w:w="11850" w:h="16783"/>
          <w:pgMar w:top="1440" w:right="1080" w:bottom="1440" w:left="1080" w:header="851" w:footer="992" w:gutter="0"/>
          <w:pgNumType w:start="0"/>
          <w:cols w:space="425" w:num="1"/>
          <w:titlePg/>
          <w:docGrid w:type="lines" w:linePitch="312" w:charSpace="0"/>
        </w:sectPr>
      </w:pPr>
    </w:p>
    <w:tbl>
      <w:tblPr>
        <w:tblStyle w:val="26"/>
        <w:tblpPr w:leftFromText="180" w:rightFromText="180" w:vertAnchor="text" w:horzAnchor="page" w:tblpX="1220" w:tblpY="264"/>
        <w:tblOverlap w:val="never"/>
        <w:tblW w:w="9652" w:type="dxa"/>
        <w:tblInd w:w="0" w:type="dxa"/>
        <w:tblBorders>
          <w:top w:val="single" w:color="A6A6A6" w:sz="8"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
      <w:tblGrid>
        <w:gridCol w:w="1227"/>
        <w:gridCol w:w="2800"/>
        <w:gridCol w:w="1977"/>
        <w:gridCol w:w="1193"/>
        <w:gridCol w:w="2455"/>
      </w:tblGrid>
      <w:tr>
        <w:tblPrEx>
          <w:tblBorders>
            <w:top w:val="single" w:color="A6A6A6" w:sz="8"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Ex>
        <w:trPr>
          <w:trHeight w:val="620" w:hRule="atLeast"/>
        </w:trPr>
        <w:tc>
          <w:tcPr>
            <w:tcW w:w="4027" w:type="dxa"/>
            <w:gridSpan w:val="2"/>
            <w:tcBorders>
              <w:top w:val="nil"/>
              <w:bottom w:val="nil"/>
            </w:tcBorders>
          </w:tcPr>
          <w:p>
            <w:pPr>
              <w:pStyle w:val="2"/>
              <w:outlineLvl w:val="0"/>
              <w:rPr>
                <w:rFonts w:eastAsiaTheme="majorEastAsia" w:cstheme="majorBidi"/>
                <w:b/>
                <w:bCs/>
                <w:color w:val="000000" w:themeColor="text1"/>
                <w14:textFill>
                  <w14:solidFill>
                    <w14:schemeClr w14:val="tx1"/>
                  </w14:solidFill>
                </w14:textFill>
              </w:rPr>
            </w:pPr>
            <w:bookmarkStart w:id="1" w:name="_Toc487814216"/>
            <w:r>
              <w:rPr>
                <w:rFonts w:hint="eastAsia" w:ascii="微软雅黑" w:hAnsi="微软雅黑" w:eastAsia="微软雅黑" w:cstheme="majorBidi"/>
                <w:b w:val="0"/>
                <w:bCs w:val="0"/>
                <w:color w:val="000000" w:themeColor="text1"/>
                <w:sz w:val="36"/>
                <w:szCs w:val="36"/>
                <w14:textFill>
                  <w14:solidFill>
                    <w14:schemeClr w14:val="tx1"/>
                  </w14:solidFill>
                </w14:textFill>
              </w:rPr>
              <w:t>临床信息</w:t>
            </w:r>
            <w:bookmarkEnd w:id="1"/>
            <w:r>
              <w:rPr>
                <w:rFonts w:hint="eastAsia" w:eastAsiaTheme="majorEastAsia" w:cstheme="majorBidi"/>
                <w:b w:val="0"/>
                <w:bCs w:val="0"/>
                <w:color w:val="000000" w:themeColor="text1"/>
                <w14:textFill>
                  <w14:solidFill>
                    <w14:schemeClr w14:val="tx1"/>
                  </w14:solidFill>
                </w14:textFill>
              </w:rPr>
              <w:t xml:space="preserve"> </w:t>
            </w:r>
          </w:p>
        </w:tc>
        <w:tc>
          <w:tcPr>
            <w:tcW w:w="1977" w:type="dxa"/>
            <w:tcBorders>
              <w:top w:val="nil"/>
              <w:bottom w:val="nil"/>
            </w:tcBorders>
          </w:tcPr>
          <w:p>
            <w:pPr>
              <w:pStyle w:val="45"/>
              <w:spacing w:line="480" w:lineRule="auto"/>
              <w:ind w:firstLine="0" w:firstLineChars="0"/>
              <w:rPr>
                <w:rFonts w:ascii="微软雅黑" w:hAnsi="微软雅黑" w:eastAsia="微软雅黑" w:cstheme="majorBidi"/>
                <w:color w:val="808080" w:themeColor="text1" w:themeTint="80"/>
                <w:sz w:val="16"/>
                <w:szCs w:val="16"/>
                <w14:textFill>
                  <w14:solidFill>
                    <w14:schemeClr w14:val="tx1">
                      <w14:lumMod w14:val="50000"/>
                      <w14:lumOff w14:val="50000"/>
                    </w14:schemeClr>
                  </w14:solidFill>
                </w14:textFill>
              </w:rPr>
            </w:pPr>
          </w:p>
        </w:tc>
        <w:tc>
          <w:tcPr>
            <w:tcW w:w="1193" w:type="dxa"/>
            <w:tcBorders>
              <w:top w:val="nil"/>
              <w:bottom w:val="nil"/>
            </w:tcBorders>
          </w:tcPr>
          <w:p>
            <w:pPr>
              <w:pStyle w:val="45"/>
              <w:spacing w:line="480" w:lineRule="auto"/>
              <w:ind w:firstLine="0" w:firstLineChars="0"/>
              <w:jc w:val="center"/>
              <w:rPr>
                <w:rFonts w:ascii="微软雅黑" w:hAnsi="微软雅黑" w:eastAsia="微软雅黑" w:cstheme="majorBidi"/>
                <w:color w:val="808080" w:themeColor="text1" w:themeTint="80"/>
                <w:sz w:val="16"/>
                <w:szCs w:val="16"/>
                <w14:textFill>
                  <w14:solidFill>
                    <w14:schemeClr w14:val="tx1">
                      <w14:lumMod w14:val="50000"/>
                      <w14:lumOff w14:val="50000"/>
                    </w14:schemeClr>
                  </w14:solidFill>
                </w14:textFill>
              </w:rPr>
            </w:pPr>
          </w:p>
        </w:tc>
        <w:tc>
          <w:tcPr>
            <w:tcW w:w="2455" w:type="dxa"/>
            <w:tcBorders>
              <w:top w:val="nil"/>
              <w:bottom w:val="nil"/>
            </w:tcBorders>
          </w:tcPr>
          <w:p>
            <w:pPr>
              <w:pStyle w:val="45"/>
              <w:spacing w:line="480" w:lineRule="auto"/>
              <w:ind w:firstLine="0" w:firstLineChars="0"/>
              <w:rPr>
                <w:rFonts w:ascii="微软雅黑" w:hAnsi="微软雅黑" w:eastAsia="微软雅黑" w:cstheme="majorBidi"/>
                <w:color w:val="000000" w:themeColor="text1"/>
                <w:sz w:val="16"/>
                <w:szCs w:val="16"/>
                <w14:textFill>
                  <w14:solidFill>
                    <w14:schemeClr w14:val="tx1"/>
                  </w14:solidFill>
                </w14:textFill>
              </w:rPr>
            </w:pPr>
          </w:p>
        </w:tc>
      </w:tr>
      <w:tr>
        <w:tblPrEx>
          <w:tblBorders>
            <w:top w:val="single" w:color="A6A6A6" w:sz="8"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Ex>
        <w:trPr>
          <w:trHeight w:val="640" w:hRule="atLeast"/>
        </w:trPr>
        <w:tc>
          <w:tcPr>
            <w:tcW w:w="1227" w:type="dxa"/>
          </w:tcPr>
          <w:p>
            <w:pPr>
              <w:pStyle w:val="45"/>
              <w:spacing w:line="480" w:lineRule="auto"/>
              <w:ind w:firstLine="0" w:firstLineChars="0"/>
              <w:jc w:val="center"/>
              <w:rPr>
                <w:rFonts w:ascii="微软雅黑" w:hAnsi="微软雅黑" w:eastAsia="微软雅黑"/>
                <w:b w:val="0"/>
                <w:bCs w:val="0"/>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b/>
                <w:bCs/>
                <w:color w:val="262626" w:themeColor="text1" w:themeTint="D9"/>
                <w:sz w:val="18"/>
                <w:szCs w:val="18"/>
                <w14:textFill>
                  <w14:solidFill>
                    <w14:schemeClr w14:val="tx1">
                      <w14:lumMod w14:val="85000"/>
                      <w14:lumOff w14:val="15000"/>
                    </w14:schemeClr>
                  </w14:solidFill>
                </w14:textFill>
              </w:rPr>
              <w:t>姓名</w:t>
            </w:r>
          </w:p>
        </w:tc>
        <w:tc>
          <w:tcPr>
            <w:tcW w:w="4777" w:type="dxa"/>
            <w:gridSpan w:val="2"/>
          </w:tcPr>
          <w:p>
            <w:pPr>
              <w:pStyle w:val="45"/>
              <w:spacing w:line="480" w:lineRule="auto"/>
              <w:ind w:firstLine="0" w:firstLineChars="0"/>
              <w:rPr>
                <w:rFonts w:hint="eastAsia" w:ascii="微软雅黑" w:hAnsi="微软雅黑" w:eastAsia="微软雅黑"/>
                <w:bCs/>
                <w:color w:val="262626" w:themeColor="text1" w:themeTint="D9"/>
                <w:sz w:val="18"/>
                <w:szCs w:val="18"/>
                <w:lang w:eastAsia="zh-CN"/>
                <w14:textFill>
                  <w14:solidFill>
                    <w14:schemeClr w14:val="tx1">
                      <w14:lumMod w14:val="85000"/>
                      <w14:lumOff w14:val="15000"/>
                    </w14:schemeClr>
                  </w14:solidFill>
                </w14:textFill>
              </w:rPr>
            </w:pPr>
            <w:r>
              <w:rPr>
                <w:rFonts w:hint="eastAsia" w:ascii="微软雅黑" w:hAnsi="微软雅黑" w:eastAsia="微软雅黑"/>
                <w:bCs/>
                <w:color w:val="262626" w:themeColor="text1" w:themeTint="D9"/>
                <w:sz w:val="18"/>
                <w:szCs w:val="18"/>
                <w:lang w:eastAsia="zh-CN"/>
                <w14:textFill>
                  <w14:solidFill>
                    <w14:schemeClr w14:val="tx1">
                      <w14:lumMod w14:val="85000"/>
                      <w14:lumOff w14:val="15000"/>
                    </w14:schemeClr>
                  </w14:solidFill>
                </w14:textFill>
              </w:rPr>
              <w:t>${patient_name}</w:t>
            </w:r>
          </w:p>
        </w:tc>
        <w:tc>
          <w:tcPr>
            <w:tcW w:w="1193" w:type="dxa"/>
          </w:tcPr>
          <w:p>
            <w:pPr>
              <w:pStyle w:val="45"/>
              <w:spacing w:line="480" w:lineRule="auto"/>
              <w:ind w:firstLine="0" w:firstLineChars="0"/>
              <w:jc w:val="center"/>
              <w:rPr>
                <w:rFonts w:ascii="微软雅黑" w:hAnsi="微软雅黑" w:eastAsia="微软雅黑"/>
                <w:b/>
                <w:bCs/>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b/>
                <w:bCs/>
                <w:color w:val="262626" w:themeColor="text1" w:themeTint="D9"/>
                <w:sz w:val="18"/>
                <w:szCs w:val="18"/>
                <w14:textFill>
                  <w14:solidFill>
                    <w14:schemeClr w14:val="tx1">
                      <w14:lumMod w14:val="85000"/>
                      <w14:lumOff w14:val="15000"/>
                    </w14:schemeClr>
                  </w14:solidFill>
                </w14:textFill>
              </w:rPr>
              <w:t>性别</w:t>
            </w:r>
          </w:p>
        </w:tc>
        <w:tc>
          <w:tcPr>
            <w:tcW w:w="2455" w:type="dxa"/>
          </w:tcPr>
          <w:p>
            <w:pPr>
              <w:pStyle w:val="45"/>
              <w:spacing w:line="480" w:lineRule="auto"/>
              <w:ind w:firstLine="0" w:firstLineChars="0"/>
              <w:rPr>
                <w:rFonts w:ascii="微软雅黑" w:hAnsi="微软雅黑" w:eastAsia="微软雅黑"/>
                <w:bCs/>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bCs/>
                <w:color w:val="262626" w:themeColor="text1" w:themeTint="D9"/>
                <w:sz w:val="18"/>
                <w:szCs w:val="18"/>
                <w14:textFill>
                  <w14:solidFill>
                    <w14:schemeClr w14:val="tx1">
                      <w14:lumMod w14:val="85000"/>
                      <w14:lumOff w14:val="15000"/>
                    </w14:schemeClr>
                  </w14:solidFill>
                </w14:textFill>
              </w:rPr>
              <w:t>${patient_sex}</w:t>
            </w:r>
          </w:p>
        </w:tc>
      </w:tr>
      <w:tr>
        <w:tblPrEx>
          <w:tblBorders>
            <w:top w:val="single" w:color="A6A6A6" w:sz="8"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Ex>
        <w:trPr>
          <w:trHeight w:val="640" w:hRule="atLeast"/>
        </w:trPr>
        <w:tc>
          <w:tcPr>
            <w:tcW w:w="1227" w:type="dxa"/>
          </w:tcPr>
          <w:p>
            <w:pPr>
              <w:pStyle w:val="45"/>
              <w:spacing w:line="480" w:lineRule="auto"/>
              <w:ind w:firstLine="0" w:firstLineChars="0"/>
              <w:jc w:val="center"/>
              <w:rPr>
                <w:rFonts w:ascii="微软雅黑" w:hAnsi="微软雅黑" w:eastAsia="微软雅黑" w:cstheme="majorBidi"/>
                <w:b w:val="0"/>
                <w:bCs w:val="0"/>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theme="majorBidi"/>
                <w:b/>
                <w:bCs/>
                <w:color w:val="262626" w:themeColor="text1" w:themeTint="D9"/>
                <w:sz w:val="18"/>
                <w:szCs w:val="18"/>
                <w14:textFill>
                  <w14:solidFill>
                    <w14:schemeClr w14:val="tx1">
                      <w14:lumMod w14:val="85000"/>
                      <w14:lumOff w14:val="15000"/>
                    </w14:schemeClr>
                  </w14:solidFill>
                </w14:textFill>
              </w:rPr>
              <w:t>年龄</w:t>
            </w:r>
          </w:p>
        </w:tc>
        <w:tc>
          <w:tcPr>
            <w:tcW w:w="4777" w:type="dxa"/>
            <w:gridSpan w:val="2"/>
          </w:tcPr>
          <w:p>
            <w:pPr>
              <w:pStyle w:val="45"/>
              <w:spacing w:line="480" w:lineRule="auto"/>
              <w:ind w:firstLine="0" w:firstLineChars="0"/>
              <w:rPr>
                <w:rFonts w:ascii="微软雅黑" w:hAnsi="微软雅黑" w:eastAsia="微软雅黑" w:cstheme="majorBidi"/>
                <w:bCs/>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theme="majorBidi"/>
                <w:bCs/>
                <w:color w:val="262626" w:themeColor="text1" w:themeTint="D9"/>
                <w:sz w:val="18"/>
                <w:szCs w:val="18"/>
                <w14:textFill>
                  <w14:solidFill>
                    <w14:schemeClr w14:val="tx1">
                      <w14:lumMod w14:val="85000"/>
                      <w14:lumOff w14:val="15000"/>
                    </w14:schemeClr>
                  </w14:solidFill>
                </w14:textFill>
              </w:rPr>
              <w:t>${patient_age}</w:t>
            </w:r>
          </w:p>
        </w:tc>
        <w:tc>
          <w:tcPr>
            <w:tcW w:w="1193" w:type="dxa"/>
          </w:tcPr>
          <w:p>
            <w:pPr>
              <w:pStyle w:val="45"/>
              <w:spacing w:line="480" w:lineRule="auto"/>
              <w:ind w:firstLine="0" w:firstLineChars="0"/>
              <w:jc w:val="center"/>
              <w:rPr>
                <w:rFonts w:ascii="微软雅黑" w:hAnsi="微软雅黑" w:eastAsia="微软雅黑" w:cstheme="majorBidi"/>
                <w:b/>
                <w:bCs/>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theme="majorBidi"/>
                <w:b/>
                <w:bCs/>
                <w:color w:val="262626" w:themeColor="text1" w:themeTint="D9"/>
                <w:sz w:val="18"/>
                <w:szCs w:val="18"/>
                <w14:textFill>
                  <w14:solidFill>
                    <w14:schemeClr w14:val="tx1">
                      <w14:lumMod w14:val="85000"/>
                      <w14:lumOff w14:val="15000"/>
                    </w14:schemeClr>
                  </w14:solidFill>
                </w14:textFill>
              </w:rPr>
              <w:t>联系方式</w:t>
            </w:r>
          </w:p>
        </w:tc>
        <w:tc>
          <w:tcPr>
            <w:tcW w:w="2455" w:type="dxa"/>
          </w:tcPr>
          <w:p>
            <w:pPr>
              <w:pStyle w:val="45"/>
              <w:spacing w:line="480" w:lineRule="auto"/>
              <w:ind w:firstLine="0" w:firstLineChars="0"/>
              <w:rPr>
                <w:rFonts w:ascii="微软雅黑" w:hAnsi="微软雅黑" w:eastAsia="微软雅黑" w:cstheme="majorBidi"/>
                <w:bCs/>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theme="majorBidi"/>
                <w:bCs/>
                <w:color w:val="262626" w:themeColor="text1" w:themeTint="D9"/>
                <w:sz w:val="18"/>
                <w:szCs w:val="18"/>
                <w14:textFill>
                  <w14:solidFill>
                    <w14:schemeClr w14:val="tx1">
                      <w14:lumMod w14:val="85000"/>
                      <w14:lumOff w14:val="15000"/>
                    </w14:schemeClr>
                  </w14:solidFill>
                </w14:textFill>
              </w:rPr>
              <w:t>${patient_phone}</w:t>
            </w:r>
          </w:p>
        </w:tc>
      </w:tr>
      <w:tr>
        <w:tblPrEx>
          <w:tblBorders>
            <w:top w:val="single" w:color="A6A6A6" w:sz="8"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Ex>
        <w:trPr>
          <w:trHeight w:val="640" w:hRule="atLeast"/>
        </w:trPr>
        <w:tc>
          <w:tcPr>
            <w:tcW w:w="1227" w:type="dxa"/>
          </w:tcPr>
          <w:p>
            <w:pPr>
              <w:pStyle w:val="45"/>
              <w:spacing w:line="480" w:lineRule="auto"/>
              <w:ind w:firstLine="0" w:firstLineChars="0"/>
              <w:jc w:val="center"/>
              <w:rPr>
                <w:rFonts w:ascii="微软雅黑" w:hAnsi="微软雅黑" w:eastAsia="微软雅黑" w:cstheme="majorBidi"/>
                <w:b w:val="0"/>
                <w:bCs w:val="0"/>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theme="majorBidi"/>
                <w:b/>
                <w:bCs/>
                <w:color w:val="262626" w:themeColor="text1" w:themeTint="D9"/>
                <w:sz w:val="18"/>
                <w:szCs w:val="18"/>
                <w14:textFill>
                  <w14:solidFill>
                    <w14:schemeClr w14:val="tx1">
                      <w14:lumMod w14:val="85000"/>
                      <w14:lumOff w14:val="15000"/>
                    </w14:schemeClr>
                  </w14:solidFill>
                </w14:textFill>
              </w:rPr>
              <w:t>疾病类型</w:t>
            </w:r>
          </w:p>
        </w:tc>
        <w:tc>
          <w:tcPr>
            <w:tcW w:w="8425" w:type="dxa"/>
            <w:gridSpan w:val="4"/>
          </w:tcPr>
          <w:p>
            <w:pPr>
              <w:pStyle w:val="45"/>
              <w:spacing w:line="480" w:lineRule="auto"/>
              <w:ind w:firstLine="0" w:firstLineChars="0"/>
              <w:rPr>
                <w:rFonts w:ascii="微软雅黑" w:hAnsi="微软雅黑" w:eastAsia="微软雅黑" w:cstheme="majorBidi"/>
                <w:bCs/>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olor w:val="262626" w:themeColor="text1" w:themeTint="D9"/>
                <w:sz w:val="18"/>
                <w:szCs w:val="18"/>
                <w14:textFill>
                  <w14:solidFill>
                    <w14:schemeClr w14:val="tx1">
                      <w14:lumMod w14:val="85000"/>
                      <w14:lumOff w14:val="15000"/>
                    </w14:schemeClr>
                  </w14:solidFill>
                </w14:textFill>
              </w:rPr>
              <w:t>${patient_disease_type}</w:t>
            </w:r>
          </w:p>
        </w:tc>
      </w:tr>
      <w:tr>
        <w:tblPrEx>
          <w:tblBorders>
            <w:top w:val="single" w:color="A6A6A6" w:sz="8"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Ex>
        <w:trPr>
          <w:trHeight w:val="640" w:hRule="atLeast"/>
        </w:trPr>
        <w:tc>
          <w:tcPr>
            <w:tcW w:w="1227" w:type="dxa"/>
          </w:tcPr>
          <w:p>
            <w:pPr>
              <w:pStyle w:val="45"/>
              <w:spacing w:line="480" w:lineRule="auto"/>
              <w:ind w:firstLine="0" w:firstLineChars="0"/>
              <w:jc w:val="center"/>
              <w:rPr>
                <w:rFonts w:ascii="微软雅黑" w:hAnsi="微软雅黑" w:eastAsia="微软雅黑" w:cstheme="majorBidi"/>
                <w:b w:val="0"/>
                <w:bCs w:val="0"/>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theme="majorBidi"/>
                <w:b/>
                <w:bCs/>
                <w:color w:val="262626" w:themeColor="text1" w:themeTint="D9"/>
                <w:sz w:val="18"/>
                <w:szCs w:val="18"/>
                <w14:textFill>
                  <w14:solidFill>
                    <w14:schemeClr w14:val="tx1">
                      <w14:lumMod w14:val="85000"/>
                      <w14:lumOff w14:val="15000"/>
                    </w14:schemeClr>
                  </w14:solidFill>
                </w14:textFill>
              </w:rPr>
              <w:t>临床诊断</w:t>
            </w:r>
          </w:p>
        </w:tc>
        <w:tc>
          <w:tcPr>
            <w:tcW w:w="8425" w:type="dxa"/>
            <w:gridSpan w:val="4"/>
          </w:tcPr>
          <w:p>
            <w:pPr>
              <w:pStyle w:val="45"/>
              <w:spacing w:line="480" w:lineRule="auto"/>
              <w:ind w:firstLine="0" w:firstLineChars="0"/>
              <w:rPr>
                <w:rFonts w:ascii="微软雅黑" w:hAnsi="微软雅黑" w:eastAsia="微软雅黑" w:cstheme="majorBidi"/>
                <w:bCs/>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theme="majorBidi"/>
                <w:bCs/>
                <w:color w:val="262626" w:themeColor="text1" w:themeTint="D9"/>
                <w:sz w:val="18"/>
                <w:szCs w:val="18"/>
                <w14:textFill>
                  <w14:solidFill>
                    <w14:schemeClr w14:val="tx1">
                      <w14:lumMod w14:val="85000"/>
                      <w14:lumOff w14:val="15000"/>
                    </w14:schemeClr>
                  </w14:solidFill>
                </w14:textFill>
              </w:rPr>
              <w:t>${patient_clinical_diagnosis}</w:t>
            </w:r>
          </w:p>
        </w:tc>
      </w:tr>
      <w:tr>
        <w:tblPrEx>
          <w:tblBorders>
            <w:top w:val="single" w:color="A6A6A6" w:sz="8"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Ex>
        <w:trPr>
          <w:trHeight w:val="640" w:hRule="atLeast"/>
        </w:trPr>
        <w:tc>
          <w:tcPr>
            <w:tcW w:w="1227" w:type="dxa"/>
          </w:tcPr>
          <w:p>
            <w:pPr>
              <w:pStyle w:val="45"/>
              <w:spacing w:line="480" w:lineRule="auto"/>
              <w:ind w:firstLine="0" w:firstLineChars="0"/>
              <w:jc w:val="center"/>
              <w:rPr>
                <w:rFonts w:ascii="微软雅黑" w:hAnsi="微软雅黑" w:eastAsia="微软雅黑" w:cstheme="majorBidi"/>
                <w:b w:val="0"/>
                <w:bCs w:val="0"/>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theme="majorBidi"/>
                <w:b/>
                <w:bCs/>
                <w:color w:val="262626" w:themeColor="text1" w:themeTint="D9"/>
                <w:sz w:val="18"/>
                <w:szCs w:val="18"/>
                <w14:textFill>
                  <w14:solidFill>
                    <w14:schemeClr w14:val="tx1">
                      <w14:lumMod w14:val="85000"/>
                      <w14:lumOff w14:val="15000"/>
                    </w14:schemeClr>
                  </w14:solidFill>
                </w14:textFill>
              </w:rPr>
              <w:t>用药史</w:t>
            </w:r>
          </w:p>
        </w:tc>
        <w:tc>
          <w:tcPr>
            <w:tcW w:w="8425" w:type="dxa"/>
            <w:gridSpan w:val="4"/>
          </w:tcPr>
          <w:p>
            <w:pPr>
              <w:pStyle w:val="45"/>
              <w:spacing w:line="480" w:lineRule="auto"/>
              <w:ind w:firstLine="0" w:firstLineChars="0"/>
              <w:rPr>
                <w:rFonts w:ascii="微软雅黑" w:hAnsi="微软雅黑" w:eastAsia="微软雅黑" w:cstheme="majorBidi"/>
                <w:bCs/>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theme="majorBidi"/>
                <w:bCs/>
                <w:color w:val="262626" w:themeColor="text1" w:themeTint="D9"/>
                <w:sz w:val="18"/>
                <w:szCs w:val="18"/>
                <w14:textFill>
                  <w14:solidFill>
                    <w14:schemeClr w14:val="tx1">
                      <w14:lumMod w14:val="85000"/>
                      <w14:lumOff w14:val="15000"/>
                    </w14:schemeClr>
                  </w14:solidFill>
                </w14:textFill>
              </w:rPr>
              <w:t>${patient_eat_medicine_case}</w:t>
            </w:r>
          </w:p>
        </w:tc>
      </w:tr>
      <w:tr>
        <w:tblPrEx>
          <w:tblBorders>
            <w:top w:val="single" w:color="A6A6A6" w:sz="8"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Ex>
        <w:trPr>
          <w:trHeight w:val="660" w:hRule="atLeast"/>
        </w:trPr>
        <w:tc>
          <w:tcPr>
            <w:tcW w:w="1227" w:type="dxa"/>
          </w:tcPr>
          <w:p>
            <w:pPr>
              <w:pStyle w:val="45"/>
              <w:spacing w:line="480" w:lineRule="auto"/>
              <w:ind w:firstLine="0" w:firstLineChars="0"/>
              <w:jc w:val="center"/>
              <w:rPr>
                <w:rFonts w:ascii="微软雅黑" w:hAnsi="微软雅黑" w:eastAsia="微软雅黑" w:cstheme="majorBidi"/>
                <w:b w:val="0"/>
                <w:bCs w:val="0"/>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theme="majorBidi"/>
                <w:b/>
                <w:bCs/>
                <w:color w:val="262626" w:themeColor="text1" w:themeTint="D9"/>
                <w:sz w:val="18"/>
                <w:szCs w:val="18"/>
                <w14:textFill>
                  <w14:solidFill>
                    <w14:schemeClr w14:val="tx1">
                      <w14:lumMod w14:val="85000"/>
                      <w14:lumOff w14:val="15000"/>
                    </w14:schemeClr>
                  </w14:solidFill>
                </w14:textFill>
              </w:rPr>
              <w:t>家族史</w:t>
            </w:r>
          </w:p>
        </w:tc>
        <w:tc>
          <w:tcPr>
            <w:tcW w:w="8425" w:type="dxa"/>
            <w:gridSpan w:val="4"/>
          </w:tcPr>
          <w:p>
            <w:pPr>
              <w:pStyle w:val="45"/>
              <w:spacing w:line="480" w:lineRule="auto"/>
              <w:ind w:firstLine="0" w:firstLineChars="0"/>
              <w:rPr>
                <w:rFonts w:ascii="微软雅黑" w:hAnsi="微软雅黑" w:eastAsia="微软雅黑" w:cstheme="majorBidi"/>
                <w:bCs/>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theme="majorBidi"/>
                <w:bCs/>
                <w:color w:val="262626" w:themeColor="text1" w:themeTint="D9"/>
                <w:sz w:val="18"/>
                <w:szCs w:val="18"/>
                <w14:textFill>
                  <w14:solidFill>
                    <w14:schemeClr w14:val="tx1">
                      <w14:lumMod w14:val="85000"/>
                      <w14:lumOff w14:val="15000"/>
                    </w14:schemeClr>
                  </w14:solidFill>
                </w14:textFill>
              </w:rPr>
              <w:t>${patient_family_medical_history}</w:t>
            </w:r>
          </w:p>
        </w:tc>
      </w:tr>
      <w:bookmarkEnd w:id="0"/>
    </w:tbl>
    <w:p>
      <w:pPr>
        <w:pStyle w:val="29"/>
        <w:pBdr>
          <w:top w:val="none" w:color="A6A6A6" w:sz="0" w:space="0"/>
        </w:pBdr>
        <w:spacing w:line="480" w:lineRule="auto"/>
        <w:ind w:firstLine="0" w:firstLineChars="0"/>
        <w:rPr>
          <w:rFonts w:ascii="微软雅黑" w:hAnsi="微软雅黑" w:eastAsia="微软雅黑" w:cstheme="majorBidi"/>
          <w:color w:val="0099FF"/>
          <w:sz w:val="32"/>
          <w:szCs w:val="32"/>
        </w:rPr>
      </w:pPr>
    </w:p>
    <w:p>
      <w:pPr>
        <w:pStyle w:val="29"/>
        <w:pBdr>
          <w:top w:val="none" w:color="A6A6A6" w:sz="0" w:space="0"/>
        </w:pBdr>
        <w:spacing w:line="480" w:lineRule="auto"/>
        <w:ind w:firstLine="0" w:firstLineChars="0"/>
        <w:jc w:val="center"/>
        <w:rPr>
          <w:rFonts w:ascii="微软雅黑" w:hAnsi="微软雅黑" w:eastAsia="微软雅黑" w:cstheme="majorBidi"/>
          <w:color w:val="0099FF"/>
          <w:sz w:val="32"/>
          <w:szCs w:val="32"/>
        </w:rPr>
      </w:pPr>
    </w:p>
    <w:tbl>
      <w:tblPr>
        <w:tblStyle w:val="22"/>
        <w:tblW w:w="9767" w:type="dxa"/>
        <w:tblInd w:w="139" w:type="dxa"/>
        <w:tblBorders>
          <w:top w:val="none" w:color="auto" w:sz="0"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
      <w:tblGrid>
        <w:gridCol w:w="1788"/>
        <w:gridCol w:w="4310"/>
        <w:gridCol w:w="1450"/>
        <w:gridCol w:w="2219"/>
      </w:tblGrid>
      <w:tr>
        <w:tblPrEx>
          <w:tblBorders>
            <w:top w:val="none" w:color="auto" w:sz="0"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Ex>
        <w:trPr>
          <w:trHeight w:val="343" w:hRule="atLeast"/>
        </w:trPr>
        <w:tc>
          <w:tcPr>
            <w:tcW w:w="9767" w:type="dxa"/>
            <w:gridSpan w:val="4"/>
          </w:tcPr>
          <w:p>
            <w:pPr>
              <w:pStyle w:val="2"/>
              <w:rPr>
                <w:rFonts w:ascii="微软雅黑" w:hAnsi="微软雅黑" w:eastAsia="微软雅黑"/>
                <w:b w:val="0"/>
                <w:sz w:val="36"/>
                <w:szCs w:val="36"/>
              </w:rPr>
            </w:pPr>
            <w:bookmarkStart w:id="2" w:name="_Toc487814217"/>
            <w:r>
              <w:rPr>
                <w:rFonts w:hint="eastAsia" w:ascii="微软雅黑" w:hAnsi="微软雅黑" w:eastAsia="微软雅黑"/>
                <w:b w:val="0"/>
                <w:sz w:val="36"/>
                <w:szCs w:val="36"/>
              </w:rPr>
              <w:t>样本信息</w:t>
            </w:r>
            <w:bookmarkEnd w:id="2"/>
          </w:p>
        </w:tc>
      </w:tr>
      <w:tr>
        <w:tblPrEx>
          <w:tblBorders>
            <w:top w:val="none" w:color="auto" w:sz="0"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Ex>
        <w:trPr>
          <w:trHeight w:val="629" w:hRule="exact"/>
        </w:trPr>
        <w:tc>
          <w:tcPr>
            <w:tcW w:w="1788" w:type="dxa"/>
            <w:vAlign w:val="center"/>
          </w:tcPr>
          <w:p>
            <w:pPr>
              <w:ind w:firstLine="180" w:firstLineChars="100"/>
              <w:jc w:val="both"/>
              <w:rPr>
                <w:rFonts w:ascii="微软雅黑" w:hAnsi="微软雅黑" w:eastAsia="微软雅黑" w:cs="微软雅黑"/>
                <w:b/>
                <w:bCs/>
                <w:color w:val="000000" w:themeColor="text1"/>
                <w:sz w:val="18"/>
                <w:szCs w:val="18"/>
                <w14:textFill>
                  <w14:solidFill>
                    <w14:schemeClr w14:val="tx1"/>
                  </w14:solidFill>
                </w14:textFill>
              </w:rPr>
            </w:pPr>
            <w:r>
              <w:rPr>
                <w:rFonts w:hint="eastAsia" w:ascii="微软雅黑" w:hAnsi="微软雅黑" w:eastAsia="微软雅黑" w:cs="微软雅黑"/>
                <w:b/>
                <w:bCs/>
                <w:color w:val="000000" w:themeColor="text1"/>
                <w:sz w:val="18"/>
                <w:szCs w:val="18"/>
                <w14:textFill>
                  <w14:solidFill>
                    <w14:schemeClr w14:val="tx1"/>
                  </w14:solidFill>
                </w14:textFill>
              </w:rPr>
              <w:t>样本类型</w:t>
            </w:r>
          </w:p>
        </w:tc>
        <w:tc>
          <w:tcPr>
            <w:tcW w:w="4310" w:type="dxa"/>
            <w:vAlign w:val="center"/>
          </w:tcPr>
          <w:p>
            <w:pPr>
              <w:jc w:val="both"/>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外周血</w:t>
            </w:r>
          </w:p>
        </w:tc>
        <w:tc>
          <w:tcPr>
            <w:tcW w:w="1450" w:type="dxa"/>
            <w:vAlign w:val="center"/>
          </w:tcPr>
          <w:p>
            <w:pPr>
              <w:rPr>
                <w:rFonts w:ascii="微软雅黑" w:hAnsi="微软雅黑" w:eastAsia="微软雅黑" w:cs="微软雅黑"/>
                <w:b/>
                <w:bCs/>
                <w:color w:val="000000" w:themeColor="text1"/>
                <w:sz w:val="18"/>
                <w:szCs w:val="18"/>
                <w14:textFill>
                  <w14:solidFill>
                    <w14:schemeClr w14:val="tx1"/>
                  </w14:solidFill>
                </w14:textFill>
              </w:rPr>
            </w:pPr>
            <w:r>
              <w:rPr>
                <w:rFonts w:hint="eastAsia" w:ascii="微软雅黑" w:hAnsi="微软雅黑" w:eastAsia="微软雅黑" w:cs="微软雅黑"/>
                <w:b/>
                <w:bCs/>
                <w:color w:val="000000" w:themeColor="text1"/>
                <w:sz w:val="18"/>
                <w:szCs w:val="18"/>
                <w14:textFill>
                  <w14:solidFill>
                    <w14:schemeClr w14:val="tx1"/>
                  </w14:solidFill>
                </w14:textFill>
              </w:rPr>
              <w:t xml:space="preserve">样本编号 </w:t>
            </w:r>
            <w:r>
              <w:rPr>
                <w:rFonts w:ascii="微软雅黑" w:hAnsi="微软雅黑" w:eastAsia="微软雅黑" w:cs="微软雅黑"/>
                <w:b/>
                <w:bCs/>
                <w:color w:val="000000" w:themeColor="text1"/>
                <w:sz w:val="18"/>
                <w:szCs w:val="18"/>
                <w14:textFill>
                  <w14:solidFill>
                    <w14:schemeClr w14:val="tx1"/>
                  </w14:solidFill>
                </w14:textFill>
              </w:rPr>
              <w:t xml:space="preserve">  </w:t>
            </w:r>
          </w:p>
        </w:tc>
        <w:tc>
          <w:tcPr>
            <w:tcW w:w="2219" w:type="dxa"/>
            <w:vAlign w:val="center"/>
          </w:tcPr>
          <w:p>
            <w:pPr>
              <w:jc w:val="both"/>
              <w:rPr>
                <w:rFonts w:ascii="微软雅黑" w:hAnsi="微软雅黑" w:eastAsia="微软雅黑" w:cs="微软雅黑"/>
                <w:color w:val="000000" w:themeColor="text1"/>
                <w:sz w:val="18"/>
                <w:szCs w:val="18"/>
                <w14:textFill>
                  <w14:solidFill>
                    <w14:schemeClr w14:val="tx1"/>
                  </w14:solidFill>
                </w14:textFill>
              </w:rPr>
            </w:pPr>
            <w:r>
              <w:rPr>
                <w:rFonts w:ascii="微软雅黑" w:hAnsi="微软雅黑" w:eastAsia="微软雅黑" w:cs="微软雅黑"/>
                <w:color w:val="000000" w:themeColor="text1"/>
                <w:sz w:val="18"/>
                <w:szCs w:val="18"/>
                <w14:textFill>
                  <w14:solidFill>
                    <w14:schemeClr w14:val="tx1"/>
                  </w14:solidFill>
                </w14:textFill>
              </w:rPr>
              <w:t>CQJY-005</w:t>
            </w:r>
          </w:p>
        </w:tc>
      </w:tr>
      <w:tr>
        <w:tblPrEx>
          <w:tblBorders>
            <w:top w:val="none" w:color="auto" w:sz="0"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Ex>
        <w:trPr>
          <w:trHeight w:val="629" w:hRule="exact"/>
        </w:trPr>
        <w:tc>
          <w:tcPr>
            <w:tcW w:w="1788" w:type="dxa"/>
            <w:vAlign w:val="center"/>
          </w:tcPr>
          <w:p>
            <w:pPr>
              <w:ind w:firstLine="180" w:firstLineChars="100"/>
              <w:jc w:val="both"/>
              <w:rPr>
                <w:rFonts w:ascii="微软雅黑" w:hAnsi="微软雅黑" w:eastAsia="微软雅黑" w:cs="微软雅黑"/>
                <w:b/>
                <w:bCs/>
                <w:color w:val="000000" w:themeColor="text1"/>
                <w:sz w:val="18"/>
                <w:szCs w:val="18"/>
                <w14:textFill>
                  <w14:solidFill>
                    <w14:schemeClr w14:val="tx1"/>
                  </w14:solidFill>
                </w14:textFill>
              </w:rPr>
            </w:pPr>
            <w:r>
              <w:rPr>
                <w:rFonts w:hint="eastAsia" w:ascii="微软雅黑" w:hAnsi="微软雅黑" w:eastAsia="微软雅黑" w:cs="微软雅黑"/>
                <w:b/>
                <w:bCs/>
                <w:color w:val="000000" w:themeColor="text1"/>
                <w:sz w:val="18"/>
                <w:szCs w:val="18"/>
                <w14:textFill>
                  <w14:solidFill>
                    <w14:schemeClr w14:val="tx1"/>
                  </w14:solidFill>
                </w14:textFill>
              </w:rPr>
              <w:t>送检医院及科室</w:t>
            </w:r>
          </w:p>
        </w:tc>
        <w:tc>
          <w:tcPr>
            <w:tcW w:w="4310" w:type="dxa"/>
            <w:vAlign w:val="center"/>
          </w:tcPr>
          <w:p>
            <w:pPr>
              <w:jc w:val="both"/>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市人民医院</w:t>
            </w:r>
          </w:p>
        </w:tc>
        <w:tc>
          <w:tcPr>
            <w:tcW w:w="1450" w:type="dxa"/>
            <w:vAlign w:val="center"/>
          </w:tcPr>
          <w:p>
            <w:pPr>
              <w:rPr>
                <w:rFonts w:ascii="微软雅黑" w:hAnsi="微软雅黑" w:eastAsia="微软雅黑" w:cs="微软雅黑"/>
                <w:b/>
                <w:bCs/>
                <w:color w:val="000000" w:themeColor="text1"/>
                <w:sz w:val="18"/>
                <w:szCs w:val="18"/>
                <w14:textFill>
                  <w14:solidFill>
                    <w14:schemeClr w14:val="tx1"/>
                  </w14:solidFill>
                </w14:textFill>
              </w:rPr>
            </w:pPr>
            <w:r>
              <w:rPr>
                <w:rFonts w:hint="eastAsia" w:ascii="微软雅黑" w:hAnsi="微软雅黑" w:eastAsia="微软雅黑" w:cs="微软雅黑"/>
                <w:b/>
                <w:bCs/>
                <w:color w:val="000000" w:themeColor="text1"/>
                <w:sz w:val="18"/>
                <w:szCs w:val="18"/>
                <w14:textFill>
                  <w14:solidFill>
                    <w14:schemeClr w14:val="tx1"/>
                  </w14:solidFill>
                </w14:textFill>
              </w:rPr>
              <w:t>送检医生</w:t>
            </w:r>
          </w:p>
        </w:tc>
        <w:tc>
          <w:tcPr>
            <w:tcW w:w="2219" w:type="dxa"/>
            <w:vAlign w:val="center"/>
          </w:tcPr>
          <w:p>
            <w:pPr>
              <w:jc w:val="both"/>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承启代理</w:t>
            </w:r>
          </w:p>
        </w:tc>
      </w:tr>
      <w:tr>
        <w:tblPrEx>
          <w:tblBorders>
            <w:top w:val="none" w:color="auto" w:sz="0" w:space="0"/>
            <w:left w:val="none" w:color="auto" w:sz="0" w:space="0"/>
            <w:bottom w:val="single" w:color="A6A6A6" w:sz="8" w:space="0"/>
            <w:right w:val="none" w:color="auto" w:sz="0" w:space="0"/>
            <w:insideH w:val="single" w:color="A6A6A6" w:sz="8" w:space="0"/>
            <w:insideV w:val="none" w:color="auto" w:sz="0" w:space="0"/>
          </w:tblBorders>
          <w:tblLayout w:type="fixed"/>
        </w:tblPrEx>
        <w:trPr>
          <w:trHeight w:val="629" w:hRule="exact"/>
        </w:trPr>
        <w:tc>
          <w:tcPr>
            <w:tcW w:w="1788" w:type="dxa"/>
            <w:vAlign w:val="center"/>
          </w:tcPr>
          <w:p>
            <w:pPr>
              <w:ind w:firstLine="180" w:firstLineChars="100"/>
              <w:jc w:val="both"/>
              <w:rPr>
                <w:rFonts w:ascii="微软雅黑" w:hAnsi="微软雅黑" w:eastAsia="微软雅黑" w:cs="微软雅黑"/>
                <w:b/>
                <w:bCs/>
                <w:color w:val="000000" w:themeColor="text1"/>
                <w:sz w:val="18"/>
                <w:szCs w:val="18"/>
                <w14:textFill>
                  <w14:solidFill>
                    <w14:schemeClr w14:val="tx1"/>
                  </w14:solidFill>
                </w14:textFill>
              </w:rPr>
            </w:pPr>
            <w:r>
              <w:rPr>
                <w:rFonts w:hint="eastAsia" w:ascii="微软雅黑" w:hAnsi="微软雅黑" w:eastAsia="微软雅黑" w:cs="微软雅黑"/>
                <w:b/>
                <w:bCs/>
                <w:color w:val="000000" w:themeColor="text1"/>
                <w:sz w:val="18"/>
                <w:szCs w:val="18"/>
                <w14:textFill>
                  <w14:solidFill>
                    <w14:schemeClr w14:val="tx1"/>
                  </w14:solidFill>
                </w14:textFill>
              </w:rPr>
              <w:t>送检时间</w:t>
            </w:r>
          </w:p>
        </w:tc>
        <w:tc>
          <w:tcPr>
            <w:tcW w:w="4310" w:type="dxa"/>
            <w:vAlign w:val="center"/>
          </w:tcPr>
          <w:p>
            <w:pPr>
              <w:jc w:val="both"/>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2</w:t>
            </w:r>
            <w:r>
              <w:rPr>
                <w:rFonts w:ascii="微软雅黑" w:hAnsi="微软雅黑" w:eastAsia="微软雅黑" w:cs="微软雅黑"/>
                <w:color w:val="000000" w:themeColor="text1"/>
                <w:sz w:val="18"/>
                <w:szCs w:val="18"/>
                <w14:textFill>
                  <w14:solidFill>
                    <w14:schemeClr w14:val="tx1"/>
                  </w14:solidFill>
                </w14:textFill>
              </w:rPr>
              <w:t>017-07-10</w:t>
            </w:r>
          </w:p>
        </w:tc>
        <w:tc>
          <w:tcPr>
            <w:tcW w:w="1450" w:type="dxa"/>
            <w:vAlign w:val="center"/>
          </w:tcPr>
          <w:p>
            <w:pPr>
              <w:rPr>
                <w:rFonts w:ascii="微软雅黑" w:hAnsi="微软雅黑" w:eastAsia="微软雅黑" w:cs="微软雅黑"/>
                <w:b/>
                <w:bCs/>
                <w:color w:val="000000" w:themeColor="text1"/>
                <w:sz w:val="18"/>
                <w:szCs w:val="18"/>
                <w14:textFill>
                  <w14:solidFill>
                    <w14:schemeClr w14:val="tx1"/>
                  </w14:solidFill>
                </w14:textFill>
              </w:rPr>
            </w:pPr>
            <w:r>
              <w:rPr>
                <w:rFonts w:hint="eastAsia" w:ascii="微软雅黑" w:hAnsi="微软雅黑" w:eastAsia="微软雅黑" w:cs="微软雅黑"/>
                <w:b/>
                <w:bCs/>
                <w:color w:val="000000" w:themeColor="text1"/>
                <w:sz w:val="18"/>
                <w:szCs w:val="18"/>
                <w14:textFill>
                  <w14:solidFill>
                    <w14:schemeClr w14:val="tx1"/>
                  </w14:solidFill>
                </w14:textFill>
              </w:rPr>
              <w:t>报告时间</w:t>
            </w:r>
          </w:p>
        </w:tc>
        <w:tc>
          <w:tcPr>
            <w:tcW w:w="2219" w:type="dxa"/>
            <w:vAlign w:val="center"/>
          </w:tcPr>
          <w:p>
            <w:pPr>
              <w:jc w:val="both"/>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2</w:t>
            </w:r>
            <w:r>
              <w:rPr>
                <w:rFonts w:ascii="微软雅黑" w:hAnsi="微软雅黑" w:eastAsia="微软雅黑" w:cs="微软雅黑"/>
                <w:color w:val="000000" w:themeColor="text1"/>
                <w:sz w:val="18"/>
                <w:szCs w:val="18"/>
                <w14:textFill>
                  <w14:solidFill>
                    <w14:schemeClr w14:val="tx1"/>
                  </w14:solidFill>
                </w14:textFill>
              </w:rPr>
              <w:t>017-07-18</w:t>
            </w:r>
          </w:p>
        </w:tc>
      </w:tr>
    </w:tbl>
    <w:p/>
    <w:p/>
    <w:p/>
    <w:tbl>
      <w:tblPr>
        <w:tblStyle w:val="22"/>
        <w:tblpPr w:leftFromText="180" w:rightFromText="180" w:vertAnchor="text" w:tblpX="-1749" w:tblpY="-1684"/>
        <w:tblOverlap w:val="never"/>
        <w:tblW w:w="778"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778"/>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30" w:hRule="atLeast"/>
        </w:trPr>
        <w:tc>
          <w:tcPr>
            <w:tcW w:w="778" w:type="dxa"/>
          </w:tcPr>
          <w:p>
            <w:pPr>
              <w:pStyle w:val="29"/>
              <w:spacing w:line="480" w:lineRule="auto"/>
              <w:ind w:firstLine="640"/>
              <w:rPr>
                <w:rFonts w:ascii="微软雅黑" w:hAnsi="微软雅黑" w:eastAsia="微软雅黑" w:cstheme="majorBidi"/>
                <w:b/>
                <w:bCs/>
                <w:color w:val="000000" w:themeColor="text1"/>
                <w:sz w:val="32"/>
                <w14:textFill>
                  <w14:solidFill>
                    <w14:schemeClr w14:val="tx1"/>
                  </w14:solidFill>
                </w14:textFill>
              </w:rPr>
            </w:pPr>
          </w:p>
        </w:tc>
      </w:tr>
    </w:tbl>
    <w:tbl>
      <w:tblPr>
        <w:tblStyle w:val="22"/>
        <w:tblW w:w="9767" w:type="dxa"/>
        <w:tblInd w:w="139" w:type="dxa"/>
        <w:tblBorders>
          <w:top w:val="none" w:color="auto" w:sz="0"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
      <w:tblGrid>
        <w:gridCol w:w="9767"/>
      </w:tblGrid>
      <w:tr>
        <w:tblPrEx>
          <w:tblBorders>
            <w:top w:val="none" w:color="auto" w:sz="0"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Ex>
        <w:trPr>
          <w:trHeight w:val="343" w:hRule="atLeast"/>
        </w:trPr>
        <w:tc>
          <w:tcPr>
            <w:tcW w:w="9767" w:type="dxa"/>
            <w:tcBorders>
              <w:bottom w:val="nil"/>
            </w:tcBorders>
          </w:tcPr>
          <w:p>
            <w:pPr>
              <w:pStyle w:val="2"/>
              <w:rPr>
                <w:rFonts w:ascii="微软雅黑" w:hAnsi="微软雅黑" w:eastAsia="微软雅黑"/>
                <w:b w:val="0"/>
                <w:sz w:val="36"/>
                <w:szCs w:val="36"/>
              </w:rPr>
            </w:pPr>
            <w:bookmarkStart w:id="3" w:name="_Toc487814218"/>
            <w:r>
              <w:rPr>
                <w:rFonts w:hint="eastAsia" w:ascii="微软雅黑" w:hAnsi="微软雅黑" w:eastAsia="微软雅黑"/>
                <w:b w:val="0"/>
                <w:sz w:val="36"/>
                <w:szCs w:val="36"/>
              </w:rPr>
              <w:t>检测内容</w:t>
            </w:r>
            <w:bookmarkEnd w:id="3"/>
          </w:p>
        </w:tc>
      </w:tr>
      <w:tr>
        <w:tblPrEx>
          <w:tblBorders>
            <w:top w:val="none" w:color="auto" w:sz="0" w:space="0"/>
            <w:left w:val="none" w:color="auto" w:sz="0" w:space="0"/>
            <w:bottom w:val="single" w:color="A6A6A6" w:sz="8" w:space="0"/>
            <w:right w:val="none" w:color="auto" w:sz="0" w:space="0"/>
            <w:insideH w:val="single" w:color="A6A6A6" w:sz="8" w:space="0"/>
            <w:insideV w:val="none" w:color="auto" w:sz="0" w:space="0"/>
          </w:tblBorders>
          <w:tblLayout w:type="fixed"/>
          <w:tblCellMar>
            <w:top w:w="0" w:type="dxa"/>
            <w:left w:w="108" w:type="dxa"/>
            <w:bottom w:w="0" w:type="dxa"/>
            <w:right w:w="108" w:type="dxa"/>
          </w:tblCellMar>
        </w:tblPrEx>
        <w:trPr>
          <w:trHeight w:val="1171" w:hRule="atLeast"/>
        </w:trPr>
        <w:tc>
          <w:tcPr>
            <w:tcW w:w="9767" w:type="dxa"/>
            <w:tcBorders>
              <w:top w:val="nil"/>
              <w:bottom w:val="nil"/>
            </w:tcBorders>
            <w:vAlign w:val="center"/>
          </w:tcPr>
          <w:p>
            <w:pPr>
              <w:snapToGrid w:val="0"/>
              <w:spacing w:line="360" w:lineRule="auto"/>
              <w:rPr>
                <w:rFonts w:ascii="微软雅黑" w:hAnsi="微软雅黑" w:eastAsia="微软雅黑"/>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olor w:val="262626" w:themeColor="text1" w:themeTint="D9"/>
                <w:sz w:val="18"/>
                <w:szCs w:val="18"/>
                <w14:textFill>
                  <w14:solidFill>
                    <w14:schemeClr w14:val="tx1">
                      <w14:lumMod w14:val="85000"/>
                      <w14:lumOff w14:val="15000"/>
                    </w14:schemeClr>
                  </w14:solidFill>
                </w14:textFill>
              </w:rPr>
              <w:t>H</w:t>
            </w:r>
            <w:r>
              <w:rPr>
                <w:rFonts w:ascii="微软雅黑" w:hAnsi="微软雅黑" w:eastAsia="微软雅黑"/>
                <w:color w:val="262626" w:themeColor="text1" w:themeTint="D9"/>
                <w:sz w:val="18"/>
                <w:szCs w:val="18"/>
                <w14:textFill>
                  <w14:solidFill>
                    <w14:schemeClr w14:val="tx1">
                      <w14:lumMod w14:val="85000"/>
                      <w14:lumOff w14:val="15000"/>
                    </w14:schemeClr>
                  </w14:solidFill>
                </w14:textFill>
              </w:rPr>
              <w:t>apOnco海普</w:t>
            </w:r>
            <w:r>
              <w:rPr>
                <w:rFonts w:hint="eastAsia" w:ascii="微软雅黑" w:hAnsi="微软雅黑" w:eastAsia="微软雅黑"/>
                <w:color w:val="262626" w:themeColor="text1" w:themeTint="D9"/>
                <w:sz w:val="18"/>
                <w:szCs w:val="18"/>
                <w14:textFill>
                  <w14:solidFill>
                    <w14:schemeClr w14:val="tx1">
                      <w14:lumMod w14:val="85000"/>
                      <w14:lumOff w14:val="15000"/>
                    </w14:schemeClr>
                  </w14:solidFill>
                </w14:textFill>
              </w:rPr>
              <w:t>安可</w:t>
            </w:r>
            <w:r>
              <w:rPr>
                <w:rFonts w:ascii="微软雅黑" w:hAnsi="微软雅黑" w:eastAsia="微软雅黑"/>
                <w:color w:val="262626" w:themeColor="text1" w:themeTint="D9"/>
                <w:sz w:val="18"/>
                <w:szCs w:val="18"/>
                <w14:textFill>
                  <w14:solidFill>
                    <w14:schemeClr w14:val="tx1">
                      <w14:lumMod w14:val="85000"/>
                      <w14:lumOff w14:val="15000"/>
                    </w14:schemeClr>
                  </w14:solidFill>
                </w14:textFill>
              </w:rPr>
              <w:t>—</w:t>
            </w:r>
            <w:r>
              <w:rPr>
                <w:rFonts w:hint="eastAsia" w:ascii="微软雅黑" w:hAnsi="微软雅黑" w:eastAsia="微软雅黑"/>
                <w:color w:val="262626" w:themeColor="text1" w:themeTint="D9"/>
                <w:sz w:val="18"/>
                <w:szCs w:val="18"/>
                <w14:textFill>
                  <w14:solidFill>
                    <w14:schemeClr w14:val="tx1">
                      <w14:lumMod w14:val="85000"/>
                      <w14:lumOff w14:val="15000"/>
                    </w14:schemeClr>
                  </w14:solidFill>
                </w14:textFill>
              </w:rPr>
              <w:t>肿瘤临床用药</w:t>
            </w:r>
            <w:r>
              <w:rPr>
                <w:rFonts w:ascii="微软雅黑" w:hAnsi="微软雅黑" w:eastAsia="微软雅黑"/>
                <w:color w:val="262626" w:themeColor="text1" w:themeTint="D9"/>
                <w:sz w:val="18"/>
                <w:szCs w:val="18"/>
                <w14:textFill>
                  <w14:solidFill>
                    <w14:schemeClr w14:val="tx1">
                      <w14:lumMod w14:val="85000"/>
                      <w14:lumOff w14:val="15000"/>
                    </w14:schemeClr>
                  </w14:solidFill>
                </w14:textFill>
              </w:rPr>
              <w:t>86</w:t>
            </w:r>
            <w:r>
              <w:rPr>
                <w:rFonts w:hint="eastAsia" w:ascii="微软雅黑" w:hAnsi="微软雅黑" w:eastAsia="微软雅黑"/>
                <w:color w:val="262626" w:themeColor="text1" w:themeTint="D9"/>
                <w:sz w:val="18"/>
                <w:szCs w:val="18"/>
                <w14:textFill>
                  <w14:solidFill>
                    <w14:schemeClr w14:val="tx1">
                      <w14:lumMod w14:val="85000"/>
                      <w14:lumOff w14:val="15000"/>
                    </w14:schemeClr>
                  </w14:solidFill>
                </w14:textFill>
              </w:rPr>
              <w:t>基因</w:t>
            </w:r>
            <w:r>
              <w:rPr>
                <w:rFonts w:ascii="微软雅黑" w:hAnsi="微软雅黑" w:eastAsia="微软雅黑"/>
                <w:color w:val="262626" w:themeColor="text1" w:themeTint="D9"/>
                <w:sz w:val="18"/>
                <w:szCs w:val="18"/>
                <w14:textFill>
                  <w14:solidFill>
                    <w14:schemeClr w14:val="tx1">
                      <w14:lumMod w14:val="85000"/>
                      <w14:lumOff w14:val="15000"/>
                    </w14:schemeClr>
                  </w14:solidFill>
                </w14:textFill>
              </w:rPr>
              <w:t>检测</w:t>
            </w:r>
            <w:r>
              <w:rPr>
                <w:rFonts w:hint="eastAsia" w:ascii="微软雅黑" w:hAnsi="微软雅黑" w:eastAsia="微软雅黑"/>
                <w:color w:val="262626" w:themeColor="text1" w:themeTint="D9"/>
                <w:sz w:val="18"/>
                <w:szCs w:val="18"/>
                <w14:textFill>
                  <w14:solidFill>
                    <w14:schemeClr w14:val="tx1">
                      <w14:lumMod w14:val="85000"/>
                      <w14:lumOff w14:val="15000"/>
                    </w14:schemeClr>
                  </w14:solidFill>
                </w14:textFill>
              </w:rPr>
              <w:t>，检测内容包括体细胞变异和化疗</w:t>
            </w:r>
            <w:r>
              <w:rPr>
                <w:rFonts w:ascii="微软雅黑" w:hAnsi="微软雅黑" w:eastAsia="微软雅黑"/>
                <w:color w:val="262626" w:themeColor="text1" w:themeTint="D9"/>
                <w:sz w:val="18"/>
                <w:szCs w:val="18"/>
                <w14:textFill>
                  <w14:solidFill>
                    <w14:schemeClr w14:val="tx1">
                      <w14:lumMod w14:val="85000"/>
                      <w14:lumOff w14:val="15000"/>
                    </w14:schemeClr>
                  </w14:solidFill>
                </w14:textFill>
              </w:rPr>
              <w:t>相关</w:t>
            </w:r>
            <w:r>
              <w:rPr>
                <w:rFonts w:hint="eastAsia" w:ascii="微软雅黑" w:hAnsi="微软雅黑" w:eastAsia="微软雅黑"/>
                <w:color w:val="262626" w:themeColor="text1" w:themeTint="D9"/>
                <w:sz w:val="18"/>
                <w:szCs w:val="18"/>
                <w14:textFill>
                  <w14:solidFill>
                    <w14:schemeClr w14:val="tx1">
                      <w14:lumMod w14:val="85000"/>
                      <w14:lumOff w14:val="15000"/>
                    </w14:schemeClr>
                  </w14:solidFill>
                </w14:textFill>
              </w:rPr>
              <w:t>单核苷酸多态性</w:t>
            </w:r>
          </w:p>
          <w:p>
            <w:pPr>
              <w:snapToGrid w:val="0"/>
              <w:spacing w:line="360" w:lineRule="auto"/>
              <w:rPr>
                <w:rFonts w:ascii="微软雅黑" w:hAnsi="微软雅黑" w:eastAsia="微软雅黑"/>
                <w:bCs/>
                <w:color w:val="000000" w:themeColor="text1"/>
                <w:sz w:val="18"/>
                <w:szCs w:val="18"/>
                <w14:textFill>
                  <w14:solidFill>
                    <w14:schemeClr w14:val="tx1"/>
                  </w14:solidFill>
                </w14:textFill>
              </w:rPr>
            </w:pPr>
            <w:r>
              <w:rPr>
                <w:rFonts w:hint="eastAsia" w:ascii="微软雅黑" w:hAnsi="微软雅黑" w:eastAsia="微软雅黑"/>
                <w:bCs/>
                <w:color w:val="000000" w:themeColor="text1"/>
                <w:sz w:val="18"/>
                <w:szCs w:val="18"/>
                <w14:textFill>
                  <w14:solidFill>
                    <w14:schemeClr w14:val="tx1"/>
                  </w14:solidFill>
                </w14:textFill>
              </w:rPr>
              <w:t>*</w:t>
            </w:r>
            <w:r>
              <w:rPr>
                <w:rFonts w:ascii="微软雅黑" w:hAnsi="微软雅黑" w:eastAsia="微软雅黑"/>
                <w:bCs/>
                <w:color w:val="000000" w:themeColor="text1"/>
                <w:sz w:val="18"/>
                <w:szCs w:val="18"/>
                <w14:textFill>
                  <w14:solidFill>
                    <w14:schemeClr w14:val="tx1"/>
                  </w14:solidFill>
                </w14:textFill>
              </w:rPr>
              <w:t>本次检测针对DNA水平，包括点突变、插入缺失和基因融合</w:t>
            </w:r>
            <w:r>
              <w:rPr>
                <w:rFonts w:hint="eastAsia" w:ascii="微软雅黑" w:hAnsi="微软雅黑" w:eastAsia="微软雅黑"/>
                <w:bCs/>
                <w:color w:val="000000" w:themeColor="text1"/>
                <w:sz w:val="18"/>
                <w:szCs w:val="18"/>
                <w14:textFill>
                  <w14:solidFill>
                    <w14:schemeClr w14:val="tx1"/>
                  </w14:solidFill>
                </w14:textFill>
              </w:rPr>
              <w:t>、</w:t>
            </w:r>
            <w:r>
              <w:rPr>
                <w:rFonts w:ascii="微软雅黑" w:hAnsi="微软雅黑" w:eastAsia="微软雅黑"/>
                <w:bCs/>
                <w:color w:val="000000" w:themeColor="text1"/>
                <w:sz w:val="18"/>
                <w:szCs w:val="18"/>
                <w14:textFill>
                  <w14:solidFill>
                    <w14:schemeClr w14:val="tx1"/>
                  </w14:solidFill>
                </w14:textFill>
              </w:rPr>
              <w:t>扩增，不涉及蛋白和RNA水平</w:t>
            </w:r>
          </w:p>
          <w:p>
            <w:pPr>
              <w:jc w:val="both"/>
              <w:rPr>
                <w:rFonts w:ascii="微软雅黑" w:hAnsi="微软雅黑" w:eastAsia="微软雅黑" w:cs="微软雅黑"/>
                <w:color w:val="000000" w:themeColor="text1"/>
                <w:sz w:val="18"/>
                <w:szCs w:val="18"/>
                <w14:textFill>
                  <w14:solidFill>
                    <w14:schemeClr w14:val="tx1"/>
                  </w14:solidFill>
                </w14:textFill>
              </w:rPr>
            </w:pPr>
          </w:p>
        </w:tc>
      </w:tr>
    </w:tbl>
    <w:p>
      <w:pPr>
        <w:pStyle w:val="29"/>
        <w:spacing w:line="480" w:lineRule="auto"/>
        <w:ind w:firstLine="0" w:firstLineChars="0"/>
        <w:rPr>
          <w:rFonts w:ascii="微软雅黑" w:hAnsi="微软雅黑" w:eastAsia="微软雅黑" w:cstheme="majorBidi"/>
          <w:b/>
          <w:bCs/>
          <w:color w:val="000000" w:themeColor="text1"/>
          <w:sz w:val="32"/>
          <w14:textFill>
            <w14:solidFill>
              <w14:schemeClr w14:val="tx1"/>
            </w14:solidFill>
          </w14:textFill>
        </w:rPr>
      </w:pPr>
      <w:bookmarkStart w:id="4" w:name="OLE_LINK2"/>
      <w:bookmarkStart w:id="5" w:name="OLE_LINK3"/>
      <w:bookmarkStart w:id="6" w:name="OLE_LINK15"/>
      <w:r>
        <w:rPr>
          <w:sz w:val="28"/>
        </w:rPr>
        <mc:AlternateContent>
          <mc:Choice Requires="wps">
            <w:drawing>
              <wp:anchor distT="0" distB="0" distL="114300" distR="114300" simplePos="0" relativeHeight="251649024" behindDoc="0" locked="0" layoutInCell="1" allowOverlap="1">
                <wp:simplePos x="0" y="0"/>
                <wp:positionH relativeFrom="margin">
                  <wp:posOffset>-19050</wp:posOffset>
                </wp:positionH>
                <wp:positionV relativeFrom="paragraph">
                  <wp:posOffset>57150</wp:posOffset>
                </wp:positionV>
                <wp:extent cx="6200775" cy="419100"/>
                <wp:effectExtent l="0" t="0" r="9525" b="0"/>
                <wp:wrapNone/>
                <wp:docPr id="14" name="自选图形 8"/>
                <wp:cNvGraphicFramePr/>
                <a:graphic xmlns:a="http://schemas.openxmlformats.org/drawingml/2006/main">
                  <a:graphicData uri="http://schemas.microsoft.com/office/word/2010/wordprocessingShape">
                    <wps:wsp>
                      <wps:cNvSpPr/>
                      <wps:spPr>
                        <a:xfrm>
                          <a:off x="0" y="0"/>
                          <a:ext cx="6200775" cy="419100"/>
                        </a:xfrm>
                        <a:prstGeom prst="flowChartAlternateProcess">
                          <a:avLst/>
                        </a:prstGeom>
                        <a:solidFill>
                          <a:srgbClr val="558ED5"/>
                        </a:solidFill>
                        <a:ln w="9525">
                          <a:noFill/>
                        </a:ln>
                      </wps:spPr>
                      <wps:bodyPr upright="1"/>
                    </wps:wsp>
                  </a:graphicData>
                </a:graphic>
              </wp:anchor>
            </w:drawing>
          </mc:Choice>
          <mc:Fallback>
            <w:pict>
              <v:shape id="自选图形 8" o:spid="_x0000_s1026" o:spt="176" type="#_x0000_t176" style="position:absolute;left:0pt;margin-left:-1.5pt;margin-top:4.5pt;height:33pt;width:488.25pt;mso-position-horizontal-relative:margin;z-index:251649024;mso-width-relative:page;mso-height-relative:page;" fillcolor="#558ED5" filled="t" stroked="f" coordsize="21600,21600" o:gfxdata="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u5W3zUAAAABwEAAA8AAAAAAAAAAQAgAAAAIgAAAGRycy9kb3ducmV2LnhtbFBLAQIUABQA&#10;AAAIAIdO4kAmEuOjuwEAADYDAAAOAAAAAAAAAAEAIAAAACMBAABkcnMvZTJvRG9jLnhtbFBLBQYA&#10;AAAABgAGAFkBAABQBQAAAAA=&#10;">
                <v:fill on="t" focussize="0,0"/>
                <v:stroke on="f"/>
                <v:imagedata o:title=""/>
                <o:lock v:ext="edit" aspectratio="f"/>
              </v:shape>
            </w:pict>
          </mc:Fallback>
        </mc:AlternateContent>
      </w:r>
      <w:r>
        <w:rPr>
          <w:sz w:val="28"/>
        </w:rPr>
        <mc:AlternateContent>
          <mc:Choice Requires="wps">
            <w:drawing>
              <wp:anchor distT="0" distB="0" distL="114300" distR="114300" simplePos="0" relativeHeight="251654144" behindDoc="0" locked="0" layoutInCell="1" allowOverlap="1">
                <wp:simplePos x="0" y="0"/>
                <wp:positionH relativeFrom="margin">
                  <wp:posOffset>2218690</wp:posOffset>
                </wp:positionH>
                <wp:positionV relativeFrom="paragraph">
                  <wp:posOffset>-287655</wp:posOffset>
                </wp:positionV>
                <wp:extent cx="1715135" cy="840105"/>
                <wp:effectExtent l="0" t="0" r="0" b="0"/>
                <wp:wrapNone/>
                <wp:docPr id="15" name="文本框 9"/>
                <wp:cNvGraphicFramePr/>
                <a:graphic xmlns:a="http://schemas.openxmlformats.org/drawingml/2006/main">
                  <a:graphicData uri="http://schemas.microsoft.com/office/word/2010/wordprocessingShape">
                    <wps:wsp>
                      <wps:cNvSpPr txBox="1"/>
                      <wps:spPr>
                        <a:xfrm>
                          <a:off x="0" y="0"/>
                          <a:ext cx="1715135" cy="840105"/>
                        </a:xfrm>
                        <a:prstGeom prst="rect">
                          <a:avLst/>
                        </a:prstGeom>
                        <a:noFill/>
                        <a:ln w="9525">
                          <a:noFill/>
                        </a:ln>
                      </wps:spPr>
                      <wps:txbx>
                        <w:txbxContent>
                          <w:p>
                            <w:pPr>
                              <w:pStyle w:val="2"/>
                              <w:rPr>
                                <w:rFonts w:ascii="微软雅黑" w:hAnsi="微软雅黑" w:eastAsia="微软雅黑"/>
                                <w:b w:val="0"/>
                              </w:rPr>
                            </w:pPr>
                            <w:bookmarkStart w:id="40" w:name="OLE_LINK24"/>
                            <w:r>
                              <w:rPr>
                                <w:rFonts w:hint="eastAsia"/>
                              </w:rPr>
                              <w:t xml:space="preserve"> </w:t>
                            </w:r>
                            <w:bookmarkStart w:id="41" w:name="_Toc460355466"/>
                            <w:bookmarkStart w:id="42" w:name="_Toc487814219"/>
                            <w:r>
                              <w:rPr>
                                <w:rStyle w:val="50"/>
                                <w:rFonts w:hint="eastAsia" w:ascii="微软雅黑" w:hAnsi="微软雅黑" w:eastAsia="微软雅黑" w:cs="微软雅黑"/>
                                <w:b w:val="0"/>
                                <w:bCs w:val="0"/>
                                <w:color w:val="FFFFFF" w:themeColor="background1"/>
                                <w14:textFill>
                                  <w14:solidFill>
                                    <w14:schemeClr w14:val="bg1"/>
                                  </w14:solidFill>
                                </w14:textFill>
                              </w:rPr>
                              <w:t>检测结果</w:t>
                            </w:r>
                            <w:bookmarkEnd w:id="40"/>
                            <w:bookmarkEnd w:id="41"/>
                            <w:bookmarkEnd w:id="42"/>
                          </w:p>
                        </w:txbxContent>
                      </wps:txbx>
                      <wps:bodyPr upright="1"/>
                    </wps:wsp>
                  </a:graphicData>
                </a:graphic>
              </wp:anchor>
            </w:drawing>
          </mc:Choice>
          <mc:Fallback>
            <w:pict>
              <v:shape id="文本框 9" o:spid="_x0000_s1026" o:spt="202" type="#_x0000_t202" style="position:absolute;left:0pt;margin-left:174.7pt;margin-top:-22.65pt;height:66.15pt;width:135.05pt;mso-position-horizontal-relative:margin;z-index:251654144;mso-width-relative:page;mso-height-relative:page;" filled="f" stroked="f" coordsize="21600,21600" o:gfxdata="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zyN8C2AAAAAoBAAAPAAAAAAAAAAEAIAAAACIAAABk&#10;cnMvZG93bnJldi54bWxQSwECFAAUAAAACACHTuJAAJw4NZQBAAAKAwAADgAAAAAAAAABACAAAAAn&#10;AQAAZHJzL2Uyb0RvYy54bWxQSwUGAAAAAAYABgBZAQAALQUAAAAA&#10;">
                <v:fill on="f" focussize="0,0"/>
                <v:stroke on="f"/>
                <v:imagedata o:title=""/>
                <o:lock v:ext="edit" aspectratio="f"/>
                <v:textbox>
                  <w:txbxContent>
                    <w:p>
                      <w:pPr>
                        <w:pStyle w:val="2"/>
                        <w:rPr>
                          <w:rFonts w:ascii="微软雅黑" w:hAnsi="微软雅黑" w:eastAsia="微软雅黑"/>
                          <w:b w:val="0"/>
                        </w:rPr>
                      </w:pPr>
                      <w:bookmarkStart w:id="40" w:name="OLE_LINK24"/>
                      <w:r>
                        <w:rPr>
                          <w:rFonts w:hint="eastAsia"/>
                        </w:rPr>
                        <w:t xml:space="preserve"> </w:t>
                      </w:r>
                      <w:bookmarkStart w:id="41" w:name="_Toc460355466"/>
                      <w:bookmarkStart w:id="42" w:name="_Toc487814219"/>
                      <w:r>
                        <w:rPr>
                          <w:rStyle w:val="50"/>
                          <w:rFonts w:hint="eastAsia" w:ascii="微软雅黑" w:hAnsi="微软雅黑" w:eastAsia="微软雅黑" w:cs="微软雅黑"/>
                          <w:b w:val="0"/>
                          <w:bCs w:val="0"/>
                          <w:color w:val="FFFFFF" w:themeColor="background1"/>
                          <w14:textFill>
                            <w14:solidFill>
                              <w14:schemeClr w14:val="bg1"/>
                            </w14:solidFill>
                          </w14:textFill>
                        </w:rPr>
                        <w:t>检测结果</w:t>
                      </w:r>
                      <w:bookmarkEnd w:id="40"/>
                      <w:bookmarkEnd w:id="41"/>
                      <w:bookmarkEnd w:id="42"/>
                    </w:p>
                  </w:txbxContent>
                </v:textbox>
              </v:shape>
            </w:pict>
          </mc:Fallback>
        </mc:AlternateContent>
      </w:r>
      <w:bookmarkEnd w:id="4"/>
      <w:bookmarkEnd w:id="5"/>
      <w:bookmarkEnd w:id="6"/>
    </w:p>
    <w:p>
      <w:pPr>
        <w:spacing w:before="156" w:beforeLines="50" w:after="156" w:afterLines="50" w:line="360" w:lineRule="auto"/>
        <w:rPr>
          <w:rFonts w:ascii="微软雅黑" w:hAnsi="微软雅黑" w:eastAsia="微软雅黑"/>
          <w:bCs/>
          <w:color w:val="000000" w:themeColor="text1"/>
          <w:sz w:val="36"/>
          <w:szCs w:val="36"/>
          <w14:textFill>
            <w14:solidFill>
              <w14:schemeClr w14:val="tx1"/>
            </w14:solidFill>
          </w14:textFill>
        </w:rPr>
      </w:pPr>
      <w:bookmarkStart w:id="7" w:name="OLE_LINK17"/>
      <w:bookmarkStart w:id="8" w:name="OLE_LINK18"/>
      <w:r>
        <w:rPr>
          <w:rFonts w:hint="eastAsia" w:ascii="微软雅黑" w:hAnsi="微软雅黑" w:eastAsia="微软雅黑"/>
          <w:bCs/>
          <w:color w:val="000000" w:themeColor="text1"/>
          <w:sz w:val="36"/>
          <w:szCs w:val="36"/>
          <w14:textFill>
            <w14:solidFill>
              <w14:schemeClr w14:val="tx1"/>
            </w14:solidFill>
          </w14:textFill>
        </w:rPr>
        <w:t>已上市肿瘤靶向用药及相关基因突变</w:t>
      </w:r>
    </w:p>
    <w:bookmarkEnd w:id="7"/>
    <w:bookmarkEnd w:id="8"/>
    <w:tbl>
      <w:tblPr>
        <w:tblStyle w:val="21"/>
        <w:tblW w:w="9781" w:type="dxa"/>
        <w:jc w:val="center"/>
        <w:tblInd w:w="0" w:type="dxa"/>
        <w:tblBorders>
          <w:top w:val="single" w:color="A4A4A4" w:themeColor="background1" w:themeShade="A5" w:sz="8" w:space="0"/>
          <w:left w:val="none" w:color="auto" w:sz="0" w:space="0"/>
          <w:bottom w:val="single" w:color="A4A4A4" w:themeColor="background1" w:themeShade="A5" w:sz="8" w:space="0"/>
          <w:right w:val="none" w:color="auto" w:sz="0" w:space="0"/>
          <w:insideH w:val="single" w:color="A4A4A4" w:themeColor="background1" w:themeShade="A5" w:sz="8" w:space="0"/>
          <w:insideV w:val="none" w:color="auto" w:sz="0" w:space="0"/>
        </w:tblBorders>
        <w:tblLayout w:type="fixed"/>
        <w:tblCellMar>
          <w:top w:w="0" w:type="dxa"/>
          <w:left w:w="108" w:type="dxa"/>
          <w:bottom w:w="0" w:type="dxa"/>
          <w:right w:w="108" w:type="dxa"/>
        </w:tblCellMar>
      </w:tblPr>
      <w:tblGrid>
        <w:gridCol w:w="1602"/>
        <w:gridCol w:w="2627"/>
        <w:gridCol w:w="3180"/>
        <w:gridCol w:w="2372"/>
      </w:tblGrid>
      <w:tr>
        <w:tblPrEx>
          <w:tblBorders>
            <w:top w:val="single" w:color="A4A4A4" w:themeColor="background1" w:themeShade="A5" w:sz="8" w:space="0"/>
            <w:left w:val="none" w:color="auto" w:sz="0" w:space="0"/>
            <w:bottom w:val="single" w:color="A4A4A4" w:themeColor="background1" w:themeShade="A5" w:sz="8" w:space="0"/>
            <w:right w:val="none" w:color="auto" w:sz="0" w:space="0"/>
            <w:insideH w:val="single" w:color="A4A4A4" w:themeColor="background1" w:themeShade="A5" w:sz="8" w:space="0"/>
            <w:insideV w:val="none" w:color="auto" w:sz="0" w:space="0"/>
          </w:tblBorders>
          <w:tblLayout w:type="fixed"/>
          <w:tblCellMar>
            <w:top w:w="0" w:type="dxa"/>
            <w:left w:w="108" w:type="dxa"/>
            <w:bottom w:w="0" w:type="dxa"/>
            <w:right w:w="108" w:type="dxa"/>
          </w:tblCellMar>
        </w:tblPrEx>
        <w:trPr>
          <w:cantSplit/>
          <w:trHeight w:val="257" w:hRule="atLeast"/>
          <w:jc w:val="center"/>
        </w:trPr>
        <w:tc>
          <w:tcPr>
            <w:tcW w:w="1602" w:type="dxa"/>
            <w:tcBorders>
              <w:tl2br w:val="nil"/>
              <w:tr2bl w:val="nil"/>
            </w:tcBorders>
            <w:shd w:val="clear" w:color="auto" w:fill="FFFFFF"/>
            <w:vAlign w:val="center"/>
          </w:tcPr>
          <w:p>
            <w:pPr>
              <w:jc w:val="center"/>
              <w:rPr>
                <w:rFonts w:ascii="微软雅黑" w:hAnsi="微软雅黑" w:eastAsia="微软雅黑" w:cs="微软雅黑"/>
                <w:b/>
                <w:bCs/>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18"/>
                <w:szCs w:val="18"/>
                <w14:textFill>
                  <w14:solidFill>
                    <w14:schemeClr w14:val="tx1">
                      <w14:lumMod w14:val="85000"/>
                      <w14:lumOff w14:val="15000"/>
                    </w14:schemeClr>
                  </w14:solidFill>
                </w14:textFill>
              </w:rPr>
              <w:t>靶向药物</w:t>
            </w:r>
          </w:p>
        </w:tc>
        <w:tc>
          <w:tcPr>
            <w:tcW w:w="2627" w:type="dxa"/>
            <w:tcBorders>
              <w:tl2br w:val="nil"/>
              <w:tr2bl w:val="nil"/>
            </w:tcBorders>
            <w:shd w:val="clear" w:color="auto" w:fill="FFFFFF"/>
            <w:vAlign w:val="center"/>
          </w:tcPr>
          <w:p>
            <w:pPr>
              <w:jc w:val="center"/>
              <w:rPr>
                <w:rFonts w:ascii="微软雅黑" w:hAnsi="微软雅黑" w:eastAsia="微软雅黑" w:cs="微软雅黑"/>
                <w:b/>
                <w:bCs/>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18"/>
                <w:szCs w:val="18"/>
                <w14:textFill>
                  <w14:solidFill>
                    <w14:schemeClr w14:val="tx1">
                      <w14:lumMod w14:val="85000"/>
                      <w14:lumOff w14:val="15000"/>
                    </w14:schemeClr>
                  </w14:solidFill>
                </w14:textFill>
              </w:rPr>
              <w:t>检测基因</w:t>
            </w:r>
          </w:p>
        </w:tc>
        <w:tc>
          <w:tcPr>
            <w:tcW w:w="3180" w:type="dxa"/>
            <w:tcBorders>
              <w:tl2br w:val="nil"/>
              <w:tr2bl w:val="nil"/>
            </w:tcBorders>
            <w:shd w:val="clear" w:color="auto" w:fill="FFFFFF"/>
            <w:vAlign w:val="center"/>
          </w:tcPr>
          <w:p>
            <w:pPr>
              <w:jc w:val="center"/>
              <w:rPr>
                <w:rFonts w:ascii="微软雅黑" w:hAnsi="微软雅黑" w:eastAsia="微软雅黑" w:cs="微软雅黑"/>
                <w:b/>
                <w:bCs/>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18"/>
                <w:szCs w:val="18"/>
                <w14:textFill>
                  <w14:solidFill>
                    <w14:schemeClr w14:val="tx1">
                      <w14:lumMod w14:val="85000"/>
                      <w14:lumOff w14:val="15000"/>
                    </w14:schemeClr>
                  </w14:solidFill>
                </w14:textFill>
              </w:rPr>
              <w:t>检测内容</w:t>
            </w:r>
          </w:p>
        </w:tc>
        <w:tc>
          <w:tcPr>
            <w:tcW w:w="2372" w:type="dxa"/>
            <w:tcBorders>
              <w:tl2br w:val="nil"/>
              <w:tr2bl w:val="nil"/>
            </w:tcBorders>
            <w:shd w:val="clear" w:color="auto" w:fill="FFFFFF"/>
            <w:vAlign w:val="center"/>
          </w:tcPr>
          <w:p>
            <w:pPr>
              <w:jc w:val="center"/>
              <w:rPr>
                <w:rFonts w:ascii="微软雅黑" w:hAnsi="微软雅黑" w:eastAsia="微软雅黑" w:cs="微软雅黑"/>
                <w:b/>
                <w:bCs/>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18"/>
                <w:szCs w:val="18"/>
                <w14:textFill>
                  <w14:solidFill>
                    <w14:schemeClr w14:val="tx1">
                      <w14:lumMod w14:val="85000"/>
                      <w14:lumOff w14:val="15000"/>
                    </w14:schemeClr>
                  </w14:solidFill>
                </w14:textFill>
              </w:rPr>
              <w:t>检测结果</w:t>
            </w:r>
          </w:p>
        </w:tc>
      </w:tr>
      <w:tr>
        <w:tblPrEx>
          <w:tblBorders>
            <w:top w:val="single" w:color="A4A4A4" w:themeColor="background1" w:themeShade="A5" w:sz="8" w:space="0"/>
            <w:left w:val="none" w:color="auto" w:sz="0" w:space="0"/>
            <w:bottom w:val="single" w:color="A4A4A4" w:themeColor="background1" w:themeShade="A5" w:sz="8" w:space="0"/>
            <w:right w:val="none" w:color="auto" w:sz="0" w:space="0"/>
            <w:insideH w:val="single" w:color="A4A4A4" w:themeColor="background1" w:themeShade="A5" w:sz="8" w:space="0"/>
            <w:insideV w:val="none" w:color="auto" w:sz="0" w:space="0"/>
          </w:tblBorders>
          <w:tblLayout w:type="fixed"/>
          <w:tblCellMar>
            <w:top w:w="0" w:type="dxa"/>
            <w:left w:w="108" w:type="dxa"/>
            <w:bottom w:w="0" w:type="dxa"/>
            <w:right w:w="108" w:type="dxa"/>
          </w:tblCellMar>
        </w:tblPrEx>
        <w:trPr>
          <w:cantSplit/>
          <w:trHeight w:val="510" w:hRule="atLeast"/>
          <w:jc w:val="center"/>
        </w:trPr>
        <w:tc>
          <w:tcPr>
            <w:tcW w:w="1602" w:type="dxa"/>
            <w:tcBorders>
              <w:tl2br w:val="nil"/>
              <w:tr2bl w:val="nil"/>
            </w:tcBorders>
            <w:shd w:val="clear" w:color="auto" w:fill="FFFFFF"/>
            <w:vAlign w:val="center"/>
          </w:tcPr>
          <w:p>
            <w:pPr>
              <w:jc w:val="center"/>
              <w:rPr>
                <w:rFonts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t>${a}</w:t>
            </w:r>
          </w:p>
        </w:tc>
        <w:tc>
          <w:tcPr>
            <w:tcW w:w="2627" w:type="dxa"/>
            <w:tcBorders>
              <w:tl2br w:val="nil"/>
              <w:tr2bl w:val="nil"/>
            </w:tcBorders>
            <w:shd w:val="clear" w:color="auto" w:fill="FFFFFF"/>
            <w:vAlign w:val="center"/>
          </w:tcPr>
          <w:p>
            <w:pPr>
              <w:jc w:val="center"/>
              <w:rPr>
                <w:rFonts w:ascii="微软雅黑" w:hAnsi="微软雅黑" w:eastAsia="微软雅黑" w:cs="微软雅黑"/>
                <w:i/>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微软雅黑"/>
                <w:i/>
                <w:color w:val="262626" w:themeColor="text1" w:themeTint="D9"/>
                <w:sz w:val="18"/>
                <w:szCs w:val="18"/>
                <w14:textFill>
                  <w14:solidFill>
                    <w14:schemeClr w14:val="tx1">
                      <w14:lumMod w14:val="85000"/>
                      <w14:lumOff w14:val="15000"/>
                    </w14:schemeClr>
                  </w14:solidFill>
                </w14:textFill>
              </w:rPr>
              <w:t>${b}</w:t>
            </w:r>
          </w:p>
        </w:tc>
        <w:tc>
          <w:tcPr>
            <w:tcW w:w="3180" w:type="dxa"/>
            <w:tcBorders>
              <w:tl2br w:val="nil"/>
              <w:tr2bl w:val="nil"/>
            </w:tcBorders>
            <w:shd w:val="clear" w:color="auto" w:fill="FFFFFF"/>
            <w:vAlign w:val="center"/>
          </w:tcPr>
          <w:p>
            <w:pPr>
              <w:jc w:val="center"/>
              <w:rPr>
                <w:rFonts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t>${c}</w:t>
            </w:r>
          </w:p>
        </w:tc>
        <w:tc>
          <w:tcPr>
            <w:tcW w:w="2372" w:type="dxa"/>
            <w:tcBorders>
              <w:tl2br w:val="nil"/>
              <w:tr2bl w:val="nil"/>
            </w:tcBorders>
            <w:shd w:val="clear" w:color="auto" w:fill="FFFFFF"/>
            <w:vAlign w:val="center"/>
          </w:tcPr>
          <w:p>
            <w:pPr>
              <w:jc w:val="center"/>
              <w:rPr>
                <w:rFonts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t>${d}</w:t>
            </w:r>
          </w:p>
        </w:tc>
      </w:tr>
    </w:tbl>
    <w:p>
      <w:pPr>
        <w:snapToGrid w:val="0"/>
        <w:spacing w:line="360" w:lineRule="auto"/>
        <w:rPr>
          <w:rFonts w:ascii="微软雅黑" w:hAnsi="微软雅黑" w:eastAsia="微软雅黑"/>
          <w:sz w:val="36"/>
          <w:szCs w:val="36"/>
        </w:rPr>
      </w:pPr>
      <w:r>
        <w:rPr>
          <w:rFonts w:hint="eastAsia" w:ascii="微软雅黑" w:hAnsi="微软雅黑" w:eastAsia="微软雅黑" w:cs="微软雅黑"/>
          <w:color w:val="262626" w:themeColor="text1" w:themeTint="D9"/>
          <w:sz w:val="16"/>
          <w:szCs w:val="16"/>
          <w14:textFill>
            <w14:solidFill>
              <w14:schemeClr w14:val="tx1">
                <w14:lumMod w14:val="85000"/>
                <w14:lumOff w14:val="15000"/>
              </w14:schemeClr>
            </w14:solidFill>
          </w14:textFill>
        </w:rPr>
        <w:t>注：（</w:t>
      </w:r>
      <w:r>
        <w:rPr>
          <w:rFonts w:ascii="微软雅黑" w:hAnsi="微软雅黑" w:eastAsia="微软雅黑" w:cs="微软雅黑"/>
          <w:color w:val="262626" w:themeColor="text1" w:themeTint="D9"/>
          <w:sz w:val="16"/>
          <w:szCs w:val="16"/>
          <w14:textFill>
            <w14:solidFill>
              <w14:schemeClr w14:val="tx1">
                <w14:lumMod w14:val="85000"/>
                <w14:lumOff w14:val="15000"/>
              </w14:schemeClr>
            </w14:solidFill>
          </w14:textFill>
        </w:rPr>
        <w:t>-</w:t>
      </w:r>
      <w:r>
        <w:rPr>
          <w:rFonts w:hint="eastAsia" w:ascii="微软雅黑" w:hAnsi="微软雅黑" w:eastAsia="微软雅黑" w:cs="微软雅黑"/>
          <w:color w:val="262626" w:themeColor="text1" w:themeTint="D9"/>
          <w:sz w:val="16"/>
          <w:szCs w:val="16"/>
          <w14:textFill>
            <w14:solidFill>
              <w14:schemeClr w14:val="tx1">
                <w14:lumMod w14:val="85000"/>
                <w14:lumOff w14:val="15000"/>
              </w14:schemeClr>
            </w14:solidFill>
          </w14:textFill>
        </w:rPr>
        <w:t>）表示未检测到相关变异  （</w:t>
      </w:r>
      <w:r>
        <w:rPr>
          <w:rFonts w:ascii="微软雅黑" w:hAnsi="微软雅黑" w:eastAsia="微软雅黑" w:cs="微软雅黑"/>
          <w:color w:val="262626" w:themeColor="text1" w:themeTint="D9"/>
          <w:sz w:val="16"/>
          <w:szCs w:val="16"/>
          <w14:textFill>
            <w14:solidFill>
              <w14:schemeClr w14:val="tx1">
                <w14:lumMod w14:val="85000"/>
                <w14:lumOff w14:val="15000"/>
              </w14:schemeClr>
            </w14:solidFill>
          </w14:textFill>
        </w:rPr>
        <w:t>+</w:t>
      </w:r>
      <w:r>
        <w:rPr>
          <w:rFonts w:hint="eastAsia" w:ascii="微软雅黑" w:hAnsi="微软雅黑" w:eastAsia="微软雅黑" w:cs="微软雅黑"/>
          <w:color w:val="262626" w:themeColor="text1" w:themeTint="D9"/>
          <w:sz w:val="16"/>
          <w:szCs w:val="16"/>
          <w14:textFill>
            <w14:solidFill>
              <w14:schemeClr w14:val="tx1">
                <w14:lumMod w14:val="85000"/>
                <w14:lumOff w14:val="15000"/>
              </w14:schemeClr>
            </w14:solidFill>
          </w14:textFill>
        </w:rPr>
        <w:t xml:space="preserve">）表示检测到相关变异  </w:t>
      </w:r>
      <w:r>
        <w:rPr>
          <w:rFonts w:ascii="微软雅黑" w:hAnsi="微软雅黑" w:eastAsia="微软雅黑"/>
          <w:sz w:val="36"/>
          <w:szCs w:val="36"/>
        </w:rPr>
        <w:br w:type="page"/>
      </w:r>
    </w:p>
    <w:p>
      <w:pPr>
        <w:rPr>
          <w:rFonts w:ascii="微软雅黑" w:hAnsi="微软雅黑" w:eastAsia="微软雅黑"/>
          <w:sz w:val="36"/>
          <w:szCs w:val="36"/>
        </w:rPr>
      </w:pPr>
      <w:r>
        <w:rPr>
          <w:rFonts w:hint="eastAsia" w:ascii="微软雅黑" w:hAnsi="微软雅黑" w:eastAsia="微软雅黑"/>
          <w:sz w:val="36"/>
          <w:szCs w:val="36"/>
        </w:rPr>
        <w:t>重要体细胞变异</w:t>
      </w:r>
    </w:p>
    <w:p>
      <w:pPr>
        <w:rPr>
          <w:rFonts w:ascii="微软雅黑" w:hAnsi="微软雅黑" w:eastAsia="微软雅黑"/>
          <w:sz w:val="10"/>
          <w:szCs w:val="10"/>
        </w:rPr>
      </w:pPr>
    </w:p>
    <w:tbl>
      <w:tblPr>
        <w:tblStyle w:val="62"/>
        <w:tblW w:w="9906" w:type="dxa"/>
        <w:jc w:val="center"/>
        <w:tblInd w:w="0" w:type="dxa"/>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
      <w:tblGrid>
        <w:gridCol w:w="1242"/>
        <w:gridCol w:w="1560"/>
        <w:gridCol w:w="992"/>
        <w:gridCol w:w="1701"/>
        <w:gridCol w:w="1606"/>
        <w:gridCol w:w="1121"/>
        <w:gridCol w:w="1684"/>
      </w:tblGrid>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jc w:val="center"/>
        </w:trPr>
        <w:tc>
          <w:tcPr>
            <w:tcW w:w="1242" w:type="dxa"/>
            <w:vAlign w:val="center"/>
          </w:tcPr>
          <w:p>
            <w:pPr>
              <w:spacing w:before="156" w:beforeLines="50" w:after="156" w:afterLines="50" w:line="240" w:lineRule="exact"/>
              <w:jc w:val="center"/>
              <w:rPr>
                <w:rFonts w:ascii="微软雅黑" w:hAnsi="微软雅黑" w:eastAsia="微软雅黑" w:cs="Arial Unicode MS"/>
                <w:b/>
                <w:color w:val="000000"/>
                <w:sz w:val="18"/>
                <w:szCs w:val="18"/>
              </w:rPr>
            </w:pPr>
            <w:r>
              <w:rPr>
                <w:rFonts w:hint="eastAsia" w:ascii="微软雅黑" w:hAnsi="微软雅黑" w:eastAsia="微软雅黑" w:cs="Arial Unicode MS"/>
                <w:b/>
                <w:color w:val="000000"/>
                <w:sz w:val="18"/>
                <w:szCs w:val="18"/>
              </w:rPr>
              <w:t>基因</w:t>
            </w:r>
          </w:p>
        </w:tc>
        <w:tc>
          <w:tcPr>
            <w:tcW w:w="1560" w:type="dxa"/>
            <w:vAlign w:val="center"/>
          </w:tcPr>
          <w:p>
            <w:pPr>
              <w:spacing w:before="156" w:beforeLines="50" w:after="156" w:afterLines="50" w:line="240" w:lineRule="exact"/>
              <w:jc w:val="center"/>
              <w:rPr>
                <w:rFonts w:ascii="微软雅黑" w:hAnsi="微软雅黑" w:eastAsia="微软雅黑" w:cs="Arial Unicode MS"/>
                <w:b/>
                <w:color w:val="000000"/>
                <w:sz w:val="18"/>
                <w:szCs w:val="18"/>
              </w:rPr>
            </w:pPr>
            <w:r>
              <w:rPr>
                <w:rFonts w:hint="eastAsia" w:ascii="微软雅黑" w:hAnsi="微软雅黑" w:eastAsia="微软雅黑" w:cs="Arial Unicode MS"/>
                <w:b/>
                <w:color w:val="000000"/>
                <w:sz w:val="18"/>
                <w:szCs w:val="18"/>
              </w:rPr>
              <w:t>转录本号</w:t>
            </w:r>
          </w:p>
        </w:tc>
        <w:tc>
          <w:tcPr>
            <w:tcW w:w="992" w:type="dxa"/>
            <w:vAlign w:val="center"/>
          </w:tcPr>
          <w:p>
            <w:pPr>
              <w:spacing w:before="156" w:beforeLines="50" w:after="156" w:afterLines="50" w:line="240" w:lineRule="exact"/>
              <w:jc w:val="center"/>
              <w:rPr>
                <w:rFonts w:ascii="微软雅黑" w:hAnsi="微软雅黑" w:eastAsia="微软雅黑" w:cs="Arial Unicode MS"/>
                <w:b/>
                <w:color w:val="000000"/>
                <w:sz w:val="18"/>
                <w:szCs w:val="18"/>
              </w:rPr>
            </w:pPr>
            <w:r>
              <w:rPr>
                <w:rFonts w:hint="eastAsia" w:ascii="微软雅黑" w:hAnsi="微软雅黑" w:eastAsia="微软雅黑" w:cs="Arial Unicode MS"/>
                <w:b/>
                <w:color w:val="000000"/>
                <w:sz w:val="18"/>
                <w:szCs w:val="18"/>
              </w:rPr>
              <w:t>外显子号</w:t>
            </w:r>
          </w:p>
        </w:tc>
        <w:tc>
          <w:tcPr>
            <w:tcW w:w="1701" w:type="dxa"/>
            <w:vAlign w:val="center"/>
          </w:tcPr>
          <w:p>
            <w:pPr>
              <w:spacing w:before="156" w:beforeLines="50" w:after="156" w:afterLines="50" w:line="240" w:lineRule="exact"/>
              <w:jc w:val="center"/>
              <w:rPr>
                <w:rFonts w:ascii="微软雅黑" w:hAnsi="微软雅黑" w:eastAsia="微软雅黑" w:cs="Arial Unicode MS"/>
                <w:b/>
                <w:color w:val="000000"/>
                <w:sz w:val="18"/>
                <w:szCs w:val="18"/>
              </w:rPr>
            </w:pPr>
            <w:r>
              <w:rPr>
                <w:rFonts w:hint="eastAsia" w:ascii="微软雅黑" w:hAnsi="微软雅黑" w:eastAsia="微软雅黑" w:cs="Arial Unicode MS"/>
                <w:b/>
                <w:color w:val="000000"/>
                <w:sz w:val="18"/>
                <w:szCs w:val="18"/>
              </w:rPr>
              <w:t>碱基变异</w:t>
            </w:r>
          </w:p>
        </w:tc>
        <w:tc>
          <w:tcPr>
            <w:tcW w:w="1606" w:type="dxa"/>
            <w:vAlign w:val="center"/>
          </w:tcPr>
          <w:p>
            <w:pPr>
              <w:spacing w:before="156" w:beforeLines="50" w:after="156" w:afterLines="50" w:line="240" w:lineRule="exact"/>
              <w:jc w:val="center"/>
              <w:rPr>
                <w:rFonts w:ascii="微软雅黑" w:hAnsi="微软雅黑" w:eastAsia="微软雅黑" w:cs="Arial Unicode MS"/>
                <w:b/>
                <w:color w:val="000000"/>
                <w:sz w:val="18"/>
                <w:szCs w:val="18"/>
              </w:rPr>
            </w:pPr>
            <w:r>
              <w:rPr>
                <w:rFonts w:hint="eastAsia" w:ascii="微软雅黑" w:hAnsi="微软雅黑" w:eastAsia="微软雅黑" w:cs="Arial Unicode MS"/>
                <w:b/>
                <w:color w:val="000000"/>
                <w:sz w:val="18"/>
                <w:szCs w:val="18"/>
              </w:rPr>
              <w:t>氨基酸变异</w:t>
            </w:r>
          </w:p>
        </w:tc>
        <w:tc>
          <w:tcPr>
            <w:tcW w:w="1121" w:type="dxa"/>
            <w:vAlign w:val="center"/>
          </w:tcPr>
          <w:p>
            <w:pPr>
              <w:spacing w:before="156" w:beforeLines="50" w:after="156" w:afterLines="50" w:line="240" w:lineRule="exact"/>
              <w:jc w:val="center"/>
              <w:rPr>
                <w:rFonts w:ascii="微软雅黑" w:hAnsi="微软雅黑" w:eastAsia="微软雅黑" w:cs="Arial Unicode MS"/>
                <w:b/>
                <w:color w:val="000000"/>
                <w:sz w:val="18"/>
                <w:szCs w:val="18"/>
              </w:rPr>
            </w:pPr>
            <w:r>
              <w:rPr>
                <w:rFonts w:hint="eastAsia" w:ascii="微软雅黑" w:hAnsi="微软雅黑" w:eastAsia="微软雅黑" w:cs="Arial Unicode MS"/>
                <w:b/>
                <w:color w:val="000000"/>
                <w:sz w:val="18"/>
                <w:szCs w:val="18"/>
              </w:rPr>
              <w:t>变异率(%)</w:t>
            </w:r>
          </w:p>
        </w:tc>
        <w:tc>
          <w:tcPr>
            <w:tcW w:w="1684" w:type="dxa"/>
            <w:vAlign w:val="center"/>
          </w:tcPr>
          <w:p>
            <w:pPr>
              <w:spacing w:before="156" w:beforeLines="50" w:after="156" w:afterLines="50" w:line="240" w:lineRule="exact"/>
              <w:jc w:val="center"/>
              <w:rPr>
                <w:rFonts w:ascii="微软雅黑" w:hAnsi="微软雅黑" w:eastAsia="微软雅黑" w:cs="Arial Unicode MS"/>
                <w:b/>
                <w:color w:val="000000"/>
                <w:sz w:val="18"/>
                <w:szCs w:val="18"/>
              </w:rPr>
            </w:pPr>
            <w:r>
              <w:rPr>
                <w:rFonts w:hint="eastAsia" w:ascii="微软雅黑" w:hAnsi="微软雅黑" w:eastAsia="微软雅黑" w:cs="Arial Unicode MS"/>
                <w:b/>
                <w:color w:val="000000"/>
                <w:sz w:val="18"/>
                <w:szCs w:val="18"/>
              </w:rPr>
              <w:t>药物相关性</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jc w:val="center"/>
        </w:trPr>
        <w:tc>
          <w:tcPr>
            <w:tcW w:w="1242" w:type="dxa"/>
            <w:vAlign w:val="center"/>
          </w:tcPr>
          <w:p>
            <w:pPr>
              <w:jc w:val="center"/>
              <w:rPr>
                <w:rFonts w:ascii="微软雅黑" w:hAnsi="微软雅黑" w:eastAsia="微软雅黑"/>
                <w:i/>
                <w:sz w:val="18"/>
                <w:szCs w:val="18"/>
              </w:rPr>
            </w:pPr>
            <w:r>
              <w:rPr>
                <w:rFonts w:ascii="微软雅黑" w:hAnsi="微软雅黑" w:eastAsia="微软雅黑"/>
                <w:i/>
                <w:sz w:val="18"/>
                <w:szCs w:val="18"/>
              </w:rPr>
              <w:t>PIK3CA</w:t>
            </w:r>
          </w:p>
        </w:tc>
        <w:tc>
          <w:tcPr>
            <w:tcW w:w="1560" w:type="dxa"/>
            <w:vAlign w:val="center"/>
          </w:tcPr>
          <w:p>
            <w:pPr>
              <w:jc w:val="center"/>
              <w:rPr>
                <w:rFonts w:ascii="微软雅黑" w:hAnsi="微软雅黑" w:eastAsia="微软雅黑"/>
                <w:sz w:val="18"/>
                <w:szCs w:val="18"/>
              </w:rPr>
            </w:pPr>
            <w:r>
              <w:rPr>
                <w:rFonts w:ascii="微软雅黑" w:hAnsi="微软雅黑" w:eastAsia="微软雅黑"/>
                <w:sz w:val="18"/>
                <w:szCs w:val="18"/>
              </w:rPr>
              <w:t>NM_006218</w:t>
            </w:r>
          </w:p>
        </w:tc>
        <w:tc>
          <w:tcPr>
            <w:tcW w:w="992" w:type="dxa"/>
            <w:vAlign w:val="center"/>
          </w:tcPr>
          <w:p>
            <w:pPr>
              <w:jc w:val="center"/>
              <w:rPr>
                <w:rFonts w:ascii="微软雅黑" w:hAnsi="微软雅黑" w:eastAsia="微软雅黑"/>
                <w:sz w:val="18"/>
                <w:szCs w:val="18"/>
              </w:rPr>
            </w:pPr>
            <w:r>
              <w:rPr>
                <w:rFonts w:ascii="微软雅黑" w:hAnsi="微软雅黑" w:eastAsia="微软雅黑"/>
                <w:sz w:val="18"/>
                <w:szCs w:val="18"/>
              </w:rPr>
              <w:t>exon20</w:t>
            </w:r>
          </w:p>
        </w:tc>
        <w:tc>
          <w:tcPr>
            <w:tcW w:w="1701" w:type="dxa"/>
            <w:vAlign w:val="center"/>
          </w:tcPr>
          <w:p>
            <w:pPr>
              <w:jc w:val="center"/>
              <w:rPr>
                <w:rFonts w:ascii="微软雅黑" w:hAnsi="微软雅黑" w:eastAsia="微软雅黑"/>
                <w:sz w:val="18"/>
                <w:szCs w:val="18"/>
              </w:rPr>
            </w:pPr>
            <w:r>
              <w:rPr>
                <w:rFonts w:ascii="微软雅黑" w:hAnsi="微软雅黑" w:eastAsia="微软雅黑"/>
                <w:sz w:val="18"/>
                <w:szCs w:val="18"/>
              </w:rPr>
              <w:t>c.A3127G</w:t>
            </w:r>
          </w:p>
        </w:tc>
        <w:tc>
          <w:tcPr>
            <w:tcW w:w="1606" w:type="dxa"/>
            <w:vAlign w:val="center"/>
          </w:tcPr>
          <w:p>
            <w:pPr>
              <w:jc w:val="center"/>
              <w:rPr>
                <w:rFonts w:ascii="微软雅黑" w:hAnsi="微软雅黑" w:eastAsia="微软雅黑"/>
                <w:sz w:val="18"/>
                <w:szCs w:val="18"/>
              </w:rPr>
            </w:pPr>
            <w:r>
              <w:rPr>
                <w:rFonts w:ascii="微软雅黑" w:hAnsi="微软雅黑" w:eastAsia="微软雅黑"/>
                <w:sz w:val="18"/>
                <w:szCs w:val="18"/>
              </w:rPr>
              <w:t>p.M1043V</w:t>
            </w:r>
          </w:p>
        </w:tc>
        <w:tc>
          <w:tcPr>
            <w:tcW w:w="1121" w:type="dxa"/>
            <w:vAlign w:val="center"/>
          </w:tcPr>
          <w:p>
            <w:pPr>
              <w:jc w:val="center"/>
              <w:rPr>
                <w:rFonts w:ascii="微软雅黑" w:hAnsi="微软雅黑" w:eastAsia="微软雅黑"/>
                <w:sz w:val="18"/>
                <w:szCs w:val="18"/>
              </w:rPr>
            </w:pPr>
            <w:r>
              <w:rPr>
                <w:rFonts w:ascii="微软雅黑" w:hAnsi="微软雅黑" w:eastAsia="微软雅黑"/>
                <w:sz w:val="18"/>
                <w:szCs w:val="18"/>
              </w:rPr>
              <w:t>28.35</w:t>
            </w:r>
          </w:p>
        </w:tc>
        <w:tc>
          <w:tcPr>
            <w:tcW w:w="1684" w:type="dxa"/>
            <w:vAlign w:val="center"/>
          </w:tcPr>
          <w:p>
            <w:pPr>
              <w:spacing w:before="156" w:beforeLines="50" w:after="156" w:afterLines="50" w:line="240" w:lineRule="exact"/>
              <w:jc w:val="center"/>
              <w:rPr>
                <w:rFonts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t>临床试验药</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jc w:val="center"/>
        </w:trPr>
        <w:tc>
          <w:tcPr>
            <w:tcW w:w="1242" w:type="dxa"/>
            <w:vAlign w:val="center"/>
          </w:tcPr>
          <w:p>
            <w:pPr>
              <w:jc w:val="center"/>
              <w:rPr>
                <w:rFonts w:ascii="微软雅黑" w:hAnsi="微软雅黑" w:eastAsia="微软雅黑"/>
                <w:i/>
                <w:sz w:val="18"/>
                <w:szCs w:val="18"/>
              </w:rPr>
            </w:pPr>
            <w:r>
              <w:rPr>
                <w:rFonts w:ascii="微软雅黑" w:hAnsi="微软雅黑" w:eastAsia="微软雅黑"/>
                <w:i/>
                <w:sz w:val="18"/>
                <w:szCs w:val="18"/>
              </w:rPr>
              <w:t>TP53</w:t>
            </w:r>
          </w:p>
        </w:tc>
        <w:tc>
          <w:tcPr>
            <w:tcW w:w="1560" w:type="dxa"/>
            <w:vAlign w:val="center"/>
          </w:tcPr>
          <w:p>
            <w:pPr>
              <w:jc w:val="center"/>
              <w:rPr>
                <w:rFonts w:ascii="微软雅黑" w:hAnsi="微软雅黑" w:eastAsia="微软雅黑"/>
                <w:sz w:val="18"/>
                <w:szCs w:val="18"/>
              </w:rPr>
            </w:pPr>
            <w:r>
              <w:rPr>
                <w:rFonts w:ascii="微软雅黑" w:hAnsi="微软雅黑" w:eastAsia="微软雅黑"/>
                <w:sz w:val="18"/>
                <w:szCs w:val="18"/>
              </w:rPr>
              <w:t>NM_000546</w:t>
            </w:r>
          </w:p>
        </w:tc>
        <w:tc>
          <w:tcPr>
            <w:tcW w:w="992" w:type="dxa"/>
            <w:vAlign w:val="center"/>
          </w:tcPr>
          <w:p>
            <w:pPr>
              <w:jc w:val="center"/>
              <w:rPr>
                <w:rFonts w:ascii="微软雅黑" w:hAnsi="微软雅黑" w:eastAsia="微软雅黑"/>
                <w:sz w:val="18"/>
                <w:szCs w:val="18"/>
              </w:rPr>
            </w:pPr>
            <w:r>
              <w:rPr>
                <w:rFonts w:ascii="微软雅黑" w:hAnsi="微软雅黑" w:eastAsia="微软雅黑"/>
                <w:sz w:val="18"/>
                <w:szCs w:val="18"/>
              </w:rPr>
              <w:t>exon5</w:t>
            </w:r>
          </w:p>
        </w:tc>
        <w:tc>
          <w:tcPr>
            <w:tcW w:w="1701" w:type="dxa"/>
            <w:vAlign w:val="center"/>
          </w:tcPr>
          <w:p>
            <w:pPr>
              <w:jc w:val="center"/>
              <w:rPr>
                <w:rFonts w:ascii="微软雅黑" w:hAnsi="微软雅黑" w:eastAsia="微软雅黑"/>
                <w:sz w:val="18"/>
                <w:szCs w:val="18"/>
              </w:rPr>
            </w:pPr>
            <w:r>
              <w:rPr>
                <w:rFonts w:ascii="微软雅黑" w:hAnsi="微软雅黑" w:eastAsia="微软雅黑"/>
                <w:sz w:val="18"/>
                <w:szCs w:val="18"/>
              </w:rPr>
              <w:t>c.C530T</w:t>
            </w:r>
          </w:p>
        </w:tc>
        <w:tc>
          <w:tcPr>
            <w:tcW w:w="1606" w:type="dxa"/>
            <w:vAlign w:val="center"/>
          </w:tcPr>
          <w:p>
            <w:pPr>
              <w:jc w:val="center"/>
              <w:rPr>
                <w:rFonts w:ascii="微软雅黑" w:hAnsi="微软雅黑" w:eastAsia="微软雅黑"/>
                <w:sz w:val="18"/>
                <w:szCs w:val="18"/>
              </w:rPr>
            </w:pPr>
            <w:r>
              <w:rPr>
                <w:rFonts w:ascii="微软雅黑" w:hAnsi="微软雅黑" w:eastAsia="微软雅黑"/>
                <w:sz w:val="18"/>
                <w:szCs w:val="18"/>
              </w:rPr>
              <w:t>p.P177L</w:t>
            </w:r>
          </w:p>
        </w:tc>
        <w:tc>
          <w:tcPr>
            <w:tcW w:w="1121" w:type="dxa"/>
            <w:vAlign w:val="center"/>
          </w:tcPr>
          <w:p>
            <w:pPr>
              <w:jc w:val="center"/>
              <w:rPr>
                <w:rFonts w:ascii="微软雅黑" w:hAnsi="微软雅黑" w:eastAsia="微软雅黑"/>
                <w:sz w:val="18"/>
                <w:szCs w:val="18"/>
              </w:rPr>
            </w:pPr>
            <w:r>
              <w:rPr>
                <w:rFonts w:ascii="微软雅黑" w:hAnsi="微软雅黑" w:eastAsia="微软雅黑"/>
                <w:sz w:val="18"/>
                <w:szCs w:val="18"/>
              </w:rPr>
              <w:t>17.63</w:t>
            </w:r>
          </w:p>
        </w:tc>
        <w:tc>
          <w:tcPr>
            <w:tcW w:w="1684" w:type="dxa"/>
            <w:vAlign w:val="center"/>
          </w:tcPr>
          <w:p>
            <w:pPr>
              <w:spacing w:before="156" w:beforeLines="50" w:after="156" w:afterLines="50" w:line="240" w:lineRule="exact"/>
              <w:jc w:val="center"/>
              <w:rPr>
                <w:rFonts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t>临床试验药</w:t>
            </w:r>
          </w:p>
        </w:tc>
      </w:tr>
    </w:tbl>
    <w:p>
      <w:pPr>
        <w:rPr>
          <w:rFonts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t>※基因位点信息参照GRCh37/hg19。“─”表示未有文献报道。</w:t>
      </w:r>
    </w:p>
    <w:p>
      <w:pPr>
        <w:rPr>
          <w:rFonts w:ascii="微软雅黑" w:hAnsi="微软雅黑" w:eastAsia="微软雅黑" w:cs="微软雅黑"/>
          <w:b/>
          <w:color w:val="262626" w:themeColor="text1" w:themeTint="D9"/>
          <w:sz w:val="36"/>
          <w:szCs w:val="36"/>
          <w14:textFill>
            <w14:solidFill>
              <w14:schemeClr w14:val="tx1">
                <w14:lumMod w14:val="85000"/>
                <w14:lumOff w14:val="15000"/>
              </w14:schemeClr>
            </w14:solidFill>
          </w14:textFill>
        </w:rPr>
      </w:pPr>
    </w:p>
    <w:p>
      <w:pPr>
        <w:rPr>
          <w:rFonts w:ascii="微软雅黑" w:hAnsi="微软雅黑" w:eastAsia="微软雅黑"/>
          <w:sz w:val="36"/>
          <w:szCs w:val="36"/>
        </w:rPr>
      </w:pPr>
      <w:r>
        <w:rPr>
          <w:rFonts w:hint="eastAsia" w:ascii="微软雅黑" w:hAnsi="微软雅黑" w:eastAsia="微软雅黑"/>
          <w:sz w:val="36"/>
          <w:szCs w:val="36"/>
        </w:rPr>
        <w:t>变异意义</w:t>
      </w:r>
    </w:p>
    <w:p>
      <w:pPr>
        <w:wordWrap w:val="0"/>
        <w:spacing w:line="360" w:lineRule="auto"/>
        <w:ind w:firstLine="360" w:firstLineChars="200"/>
        <w:jc w:val="both"/>
        <w:rPr>
          <w:rFonts w:ascii="微软雅黑" w:hAnsi="微软雅黑" w:eastAsia="微软雅黑" w:cs="Times New Roman"/>
          <w:sz w:val="18"/>
          <w:szCs w:val="18"/>
        </w:rPr>
      </w:pPr>
      <w:r>
        <w:rPr>
          <w:rFonts w:hint="eastAsia" w:ascii="微软雅黑" w:hAnsi="微软雅黑" w:eastAsia="微软雅黑" w:cs="Times New Roman"/>
          <w:sz w:val="18"/>
          <w:szCs w:val="18"/>
        </w:rPr>
        <w:t>PIK3CA p.M</w:t>
      </w:r>
      <w:r>
        <w:rPr>
          <w:rFonts w:ascii="微软雅黑" w:hAnsi="微软雅黑" w:eastAsia="微软雅黑" w:cs="Times New Roman"/>
          <w:sz w:val="18"/>
          <w:szCs w:val="18"/>
        </w:rPr>
        <w:t>1043V</w:t>
      </w:r>
      <w:r>
        <w:rPr>
          <w:rFonts w:hint="eastAsia" w:ascii="微软雅黑" w:hAnsi="微软雅黑" w:eastAsia="微软雅黑" w:cs="Times New Roman"/>
          <w:sz w:val="18"/>
          <w:szCs w:val="18"/>
        </w:rPr>
        <w:t xml:space="preserve"> 突变：是指受检者的PIK3CA蛋白第</w:t>
      </w:r>
      <w:r>
        <w:rPr>
          <w:rFonts w:ascii="微软雅黑" w:hAnsi="微软雅黑" w:eastAsia="微软雅黑" w:cs="Times New Roman"/>
          <w:sz w:val="18"/>
          <w:szCs w:val="18"/>
        </w:rPr>
        <w:t>1043</w:t>
      </w:r>
      <w:r>
        <w:rPr>
          <w:rFonts w:hint="eastAsia" w:ascii="微软雅黑" w:hAnsi="微软雅黑" w:eastAsia="微软雅黑" w:cs="Times New Roman"/>
          <w:sz w:val="18"/>
          <w:szCs w:val="18"/>
        </w:rPr>
        <w:t>个氨基酸从M（蛋氨酸）突变成了V（缬氨酸），该位点位于PIK3CA第20号外显子。体细胞变异，变异频率为28.35%。该位点在公共的癌症数据库COSMIC中有吻合的记录(http://grch37-cancer.sanger.ac.uk/cosmic/mutation/overview?id=</w:t>
      </w:r>
      <w:r>
        <w:rPr>
          <w:rFonts w:ascii="微软雅黑" w:hAnsi="微软雅黑" w:eastAsia="微软雅黑" w:cs="Times New Roman"/>
          <w:sz w:val="18"/>
          <w:szCs w:val="18"/>
        </w:rPr>
        <w:t>12591</w:t>
      </w:r>
      <w:r>
        <w:rPr>
          <w:rFonts w:hint="eastAsia" w:ascii="微软雅黑" w:hAnsi="微软雅黑" w:eastAsia="微软雅黑" w:cs="Times New Roman"/>
          <w:sz w:val="18"/>
          <w:szCs w:val="18"/>
        </w:rPr>
        <w:t>)。</w:t>
      </w:r>
    </w:p>
    <w:p>
      <w:pPr>
        <w:wordWrap w:val="0"/>
        <w:spacing w:line="360" w:lineRule="auto"/>
        <w:ind w:firstLine="360" w:firstLineChars="200"/>
        <w:jc w:val="both"/>
        <w:rPr>
          <w:rFonts w:ascii="微软雅黑" w:hAnsi="微软雅黑" w:eastAsia="微软雅黑" w:cs="Times New Roman"/>
          <w:sz w:val="18"/>
          <w:szCs w:val="18"/>
        </w:rPr>
      </w:pPr>
      <w:r>
        <w:rPr>
          <w:rFonts w:hint="eastAsia" w:ascii="微软雅黑" w:hAnsi="微软雅黑" w:eastAsia="微软雅黑" w:cs="Times New Roman"/>
          <w:sz w:val="18"/>
          <w:szCs w:val="18"/>
        </w:rPr>
        <w:t xml:space="preserve">TP53 </w:t>
      </w:r>
      <w:r>
        <w:rPr>
          <w:rFonts w:ascii="微软雅黑" w:hAnsi="微软雅黑" w:eastAsia="微软雅黑" w:cs="Times New Roman"/>
          <w:sz w:val="18"/>
          <w:szCs w:val="18"/>
        </w:rPr>
        <w:t>p.P177L</w:t>
      </w:r>
      <w:r>
        <w:rPr>
          <w:rFonts w:hint="eastAsia" w:ascii="微软雅黑" w:hAnsi="微软雅黑" w:eastAsia="微软雅黑" w:cs="Times New Roman"/>
          <w:sz w:val="18"/>
          <w:szCs w:val="18"/>
        </w:rPr>
        <w:t>突变：是指受检者的TP53蛋白第177个氨基酸从P(</w:t>
      </w:r>
      <w:r>
        <w:rPr>
          <w:rFonts w:ascii="微软雅黑" w:hAnsi="微软雅黑" w:eastAsia="微软雅黑" w:cs="Times New Roman"/>
          <w:sz w:val="18"/>
          <w:szCs w:val="18"/>
        </w:rPr>
        <w:t>脯氨酸</w:t>
      </w:r>
      <w:r>
        <w:rPr>
          <w:rFonts w:hint="eastAsia" w:ascii="微软雅黑" w:hAnsi="微软雅黑" w:eastAsia="微软雅黑" w:cs="Times New Roman"/>
          <w:sz w:val="18"/>
          <w:szCs w:val="18"/>
        </w:rPr>
        <w:t>）突变成了L（亮氨酸），该位点位于TP53第5号外显子。体细胞变异，变异频率</w:t>
      </w:r>
      <w:r>
        <w:rPr>
          <w:rFonts w:ascii="微软雅黑" w:hAnsi="微软雅黑" w:eastAsia="微软雅黑" w:cs="Times New Roman"/>
          <w:sz w:val="18"/>
          <w:szCs w:val="18"/>
        </w:rPr>
        <w:t>17.63</w:t>
      </w:r>
      <w:r>
        <w:rPr>
          <w:rFonts w:hint="eastAsia" w:ascii="微软雅黑" w:hAnsi="微软雅黑" w:eastAsia="微软雅黑" w:cs="Times New Roman"/>
          <w:sz w:val="18"/>
          <w:szCs w:val="18"/>
        </w:rPr>
        <w:t>%。该位点在公共的癌症数据库COSMIC中有吻合的记录（</w:t>
      </w:r>
      <w:r>
        <w:rPr>
          <w:rFonts w:ascii="微软雅黑" w:hAnsi="微软雅黑" w:eastAsia="微软雅黑" w:cs="Times New Roman"/>
          <w:sz w:val="18"/>
          <w:szCs w:val="18"/>
        </w:rPr>
        <w:t>http://grch37-cancer.sanger.ac.uk/cosmic/mutation/overview?id=44097</w:t>
      </w:r>
      <w:r>
        <w:rPr>
          <w:rFonts w:hint="eastAsia" w:ascii="微软雅黑" w:hAnsi="微软雅黑" w:eastAsia="微软雅黑" w:cs="Times New Roman"/>
          <w:sz w:val="18"/>
          <w:szCs w:val="18"/>
        </w:rPr>
        <w:t xml:space="preserve">）。 </w:t>
      </w:r>
    </w:p>
    <w:p>
      <w:pPr>
        <w:wordWrap w:val="0"/>
        <w:spacing w:line="360" w:lineRule="auto"/>
        <w:ind w:firstLine="360" w:firstLineChars="200"/>
        <w:jc w:val="both"/>
        <w:rPr>
          <w:rFonts w:ascii="微软雅黑" w:hAnsi="微软雅黑" w:eastAsia="微软雅黑" w:cs="Times New Roman"/>
          <w:sz w:val="18"/>
          <w:szCs w:val="18"/>
        </w:rPr>
      </w:pPr>
    </w:p>
    <w:p>
      <w:pPr>
        <w:snapToGrid w:val="0"/>
        <w:spacing w:line="360" w:lineRule="auto"/>
        <w:rPr>
          <w:rFonts w:ascii="微软雅黑" w:hAnsi="微软雅黑" w:eastAsia="微软雅黑"/>
          <w:sz w:val="36"/>
          <w:szCs w:val="36"/>
        </w:rPr>
      </w:pPr>
      <w:r>
        <w:rPr>
          <w:rFonts w:ascii="微软雅黑" w:hAnsi="微软雅黑" w:eastAsia="微软雅黑"/>
          <w:sz w:val="36"/>
          <w:szCs w:val="36"/>
        </w:rPr>
        <w:br w:type="page"/>
      </w:r>
    </w:p>
    <w:p>
      <w:pPr>
        <w:snapToGrid w:val="0"/>
        <w:spacing w:line="360" w:lineRule="auto"/>
        <w:rPr>
          <w:rFonts w:ascii="微软雅黑" w:hAnsi="微软雅黑" w:eastAsia="微软雅黑"/>
          <w:sz w:val="10"/>
          <w:szCs w:val="10"/>
        </w:rPr>
      </w:pPr>
      <w:r>
        <w:rPr>
          <w:rFonts w:hint="eastAsia" w:ascii="微软雅黑" w:hAnsi="微软雅黑" w:eastAsia="微软雅黑"/>
          <w:sz w:val="36"/>
          <w:szCs w:val="36"/>
        </w:rPr>
        <w:t>结果解析</w:t>
      </w:r>
    </w:p>
    <w:tbl>
      <w:tblPr>
        <w:tblStyle w:val="21"/>
        <w:tblW w:w="9841" w:type="dxa"/>
        <w:jc w:val="center"/>
        <w:tblInd w:w="0" w:type="dxa"/>
        <w:tblBorders>
          <w:top w:val="single" w:color="A4A4A4" w:themeColor="background1" w:themeShade="A5" w:sz="8" w:space="0"/>
          <w:left w:val="none" w:color="auto" w:sz="0" w:space="0"/>
          <w:bottom w:val="single" w:color="A4A4A4" w:themeColor="background1" w:themeShade="A5" w:sz="8" w:space="0"/>
          <w:right w:val="none" w:color="auto" w:sz="0" w:space="0"/>
          <w:insideH w:val="single" w:color="A4A4A4" w:themeColor="background1" w:themeShade="A5" w:sz="8" w:space="0"/>
          <w:insideV w:val="none" w:color="auto" w:sz="0" w:space="0"/>
        </w:tblBorders>
        <w:tblLayout w:type="fixed"/>
        <w:tblCellMar>
          <w:top w:w="0" w:type="dxa"/>
          <w:left w:w="108" w:type="dxa"/>
          <w:bottom w:w="0" w:type="dxa"/>
          <w:right w:w="108" w:type="dxa"/>
        </w:tblCellMar>
      </w:tblPr>
      <w:tblGrid>
        <w:gridCol w:w="1560"/>
        <w:gridCol w:w="8281"/>
      </w:tblGrid>
      <w:tr>
        <w:tblPrEx>
          <w:tblBorders>
            <w:top w:val="single" w:color="A4A4A4" w:themeColor="background1" w:themeShade="A5" w:sz="8" w:space="0"/>
            <w:left w:val="none" w:color="auto" w:sz="0" w:space="0"/>
            <w:bottom w:val="single" w:color="A4A4A4" w:themeColor="background1" w:themeShade="A5" w:sz="8" w:space="0"/>
            <w:right w:val="none" w:color="auto" w:sz="0" w:space="0"/>
            <w:insideH w:val="single" w:color="A4A4A4" w:themeColor="background1" w:themeShade="A5" w:sz="8" w:space="0"/>
            <w:insideV w:val="none" w:color="auto" w:sz="0" w:space="0"/>
          </w:tblBorders>
          <w:tblLayout w:type="fixed"/>
          <w:tblCellMar>
            <w:top w:w="0" w:type="dxa"/>
            <w:left w:w="108" w:type="dxa"/>
            <w:bottom w:w="0" w:type="dxa"/>
            <w:right w:w="108" w:type="dxa"/>
          </w:tblCellMar>
        </w:tblPrEx>
        <w:trPr>
          <w:cantSplit/>
          <w:trHeight w:val="425" w:hRule="atLeast"/>
          <w:jc w:val="center"/>
        </w:trPr>
        <w:tc>
          <w:tcPr>
            <w:tcW w:w="1560" w:type="dxa"/>
            <w:tcBorders>
              <w:tl2br w:val="nil"/>
              <w:tr2bl w:val="nil"/>
            </w:tcBorders>
            <w:shd w:val="clear" w:color="auto" w:fill="FFFFFF"/>
            <w:vAlign w:val="center"/>
          </w:tcPr>
          <w:p>
            <w:pPr>
              <w:jc w:val="center"/>
              <w:rPr>
                <w:rFonts w:ascii="微软雅黑" w:hAnsi="微软雅黑" w:eastAsia="微软雅黑" w:cs="微软雅黑"/>
                <w:b/>
                <w:bCs/>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14:textFill>
                  <w14:solidFill>
                    <w14:schemeClr w14:val="tx1">
                      <w14:lumMod w14:val="85000"/>
                      <w14:lumOff w14:val="15000"/>
                    </w14:schemeClr>
                  </w14:solidFill>
                </w14:textFill>
              </w:rPr>
              <w:t>基因变异</w:t>
            </w:r>
          </w:p>
        </w:tc>
        <w:tc>
          <w:tcPr>
            <w:tcW w:w="8281" w:type="dxa"/>
            <w:tcBorders>
              <w:tl2br w:val="nil"/>
              <w:tr2bl w:val="nil"/>
            </w:tcBorders>
            <w:shd w:val="clear" w:color="auto" w:fill="FFFFFF"/>
            <w:vAlign w:val="center"/>
          </w:tcPr>
          <w:p>
            <w:pPr>
              <w:jc w:val="center"/>
              <w:rPr>
                <w:rFonts w:ascii="微软雅黑" w:hAnsi="微软雅黑" w:eastAsia="微软雅黑" w:cs="微软雅黑"/>
                <w:b/>
                <w:bCs/>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14:textFill>
                  <w14:solidFill>
                    <w14:schemeClr w14:val="tx1">
                      <w14:lumMod w14:val="85000"/>
                      <w14:lumOff w14:val="15000"/>
                    </w14:schemeClr>
                  </w14:solidFill>
                </w14:textFill>
              </w:rPr>
              <w:t>药物相关性提示</w:t>
            </w:r>
          </w:p>
        </w:tc>
      </w:tr>
      <w:tr>
        <w:tblPrEx>
          <w:tblBorders>
            <w:top w:val="single" w:color="A4A4A4" w:themeColor="background1" w:themeShade="A5" w:sz="8" w:space="0"/>
            <w:left w:val="none" w:color="auto" w:sz="0" w:space="0"/>
            <w:bottom w:val="single" w:color="A4A4A4" w:themeColor="background1" w:themeShade="A5" w:sz="8" w:space="0"/>
            <w:right w:val="none" w:color="auto" w:sz="0" w:space="0"/>
            <w:insideH w:val="single" w:color="A4A4A4" w:themeColor="background1" w:themeShade="A5" w:sz="8" w:space="0"/>
            <w:insideV w:val="none" w:color="auto" w:sz="0" w:space="0"/>
          </w:tblBorders>
          <w:tblLayout w:type="fixed"/>
          <w:tblCellMar>
            <w:top w:w="0" w:type="dxa"/>
            <w:left w:w="108" w:type="dxa"/>
            <w:bottom w:w="0" w:type="dxa"/>
            <w:right w:w="108" w:type="dxa"/>
          </w:tblCellMar>
        </w:tblPrEx>
        <w:trPr>
          <w:cantSplit/>
          <w:trHeight w:val="2566" w:hRule="atLeast"/>
          <w:jc w:val="center"/>
        </w:trPr>
        <w:tc>
          <w:tcPr>
            <w:tcW w:w="1560" w:type="dxa"/>
            <w:tcBorders>
              <w:tl2br w:val="nil"/>
              <w:tr2bl w:val="nil"/>
            </w:tcBorders>
            <w:shd w:val="clear" w:color="auto" w:fill="FFFFFF"/>
            <w:vAlign w:val="center"/>
          </w:tcPr>
          <w:p>
            <w:pPr>
              <w:jc w:val="center"/>
              <w:rPr>
                <w:rFonts w:ascii="微软雅黑" w:hAnsi="微软雅黑" w:eastAsia="微软雅黑" w:cs="Times New Roman"/>
                <w:b/>
                <w:i/>
              </w:rPr>
            </w:pPr>
            <w:r>
              <w:rPr>
                <w:rFonts w:ascii="微软雅黑" w:hAnsi="微软雅黑" w:eastAsia="微软雅黑" w:cs="Times New Roman"/>
                <w:b/>
                <w:i/>
              </w:rPr>
              <w:t xml:space="preserve">PIK3CA </w:t>
            </w:r>
          </w:p>
          <w:p>
            <w:pPr>
              <w:jc w:val="center"/>
              <w:rPr>
                <w:rFonts w:ascii="微软雅黑" w:hAnsi="微软雅黑" w:eastAsia="微软雅黑" w:cs="Times New Roman"/>
              </w:rPr>
            </w:pPr>
            <w:r>
              <w:rPr>
                <w:rFonts w:ascii="微软雅黑" w:hAnsi="微软雅黑" w:eastAsia="微软雅黑" w:cs="Times New Roman"/>
                <w:b/>
              </w:rPr>
              <w:t>p.</w:t>
            </w:r>
            <w:r>
              <w:rPr>
                <w:rFonts w:hint="eastAsia" w:ascii="微软雅黑" w:hAnsi="微软雅黑" w:eastAsia="微软雅黑" w:cs="Times New Roman"/>
                <w:b/>
              </w:rPr>
              <w:t>M</w:t>
            </w:r>
            <w:r>
              <w:rPr>
                <w:rFonts w:ascii="微软雅黑" w:hAnsi="微软雅黑" w:eastAsia="微软雅黑" w:cs="Times New Roman"/>
                <w:b/>
              </w:rPr>
              <w:t>1043V</w:t>
            </w:r>
          </w:p>
        </w:tc>
        <w:tc>
          <w:tcPr>
            <w:tcW w:w="8281" w:type="dxa"/>
            <w:tcBorders>
              <w:tl2br w:val="nil"/>
              <w:tr2bl w:val="nil"/>
            </w:tcBorders>
            <w:shd w:val="clear" w:color="auto" w:fill="FFFFFF"/>
            <w:vAlign w:val="center"/>
          </w:tcPr>
          <w:p>
            <w:pPr>
              <w:snapToGrid w:val="0"/>
              <w:spacing w:line="300" w:lineRule="auto"/>
              <w:rPr>
                <w:rFonts w:ascii="微软雅黑" w:hAnsi="微软雅黑" w:eastAsia="微软雅黑" w:cs="Times New Roman"/>
              </w:rPr>
            </w:pPr>
            <w:r>
              <w:rPr>
                <w:rFonts w:ascii="微软雅黑" w:hAnsi="微软雅黑" w:eastAsia="微软雅黑" w:cs="Times New Roman"/>
              </w:rPr>
              <w:t>该</w:t>
            </w:r>
            <w:r>
              <w:rPr>
                <w:rFonts w:hint="eastAsia" w:ascii="微软雅黑" w:hAnsi="微软雅黑" w:eastAsia="微软雅黑" w:cs="Times New Roman"/>
              </w:rPr>
              <w:t>突变是一个错义突变，变异频率为28.35%。</w:t>
            </w:r>
          </w:p>
          <w:p>
            <w:pPr>
              <w:pStyle w:val="63"/>
              <w:numPr>
                <w:ilvl w:val="0"/>
                <w:numId w:val="1"/>
              </w:numPr>
              <w:snapToGrid w:val="0"/>
              <w:spacing w:line="300" w:lineRule="auto"/>
              <w:ind w:firstLineChars="0"/>
              <w:jc w:val="left"/>
              <w:rPr>
                <w:rFonts w:ascii="微软雅黑" w:hAnsi="微软雅黑" w:eastAsia="微软雅黑" w:cs="微软雅黑"/>
                <w:b/>
                <w:bCs/>
                <w:color w:val="262626" w:themeColor="text1" w:themeTint="D9"/>
                <w:sz w:val="20"/>
                <w:szCs w:val="20"/>
                <w14:textFill>
                  <w14:solidFill>
                    <w14:schemeClr w14:val="tx1">
                      <w14:lumMod w14:val="85000"/>
                      <w14:lumOff w14:val="15000"/>
                    </w14:schemeClr>
                  </w14:solidFill>
                </w14:textFill>
              </w:rPr>
            </w:pPr>
            <w:bookmarkStart w:id="9" w:name="OLE_LINK21"/>
            <w:bookmarkStart w:id="10" w:name="OLE_LINK22"/>
            <w:r>
              <w:rPr>
                <w:rFonts w:hint="eastAsia" w:ascii="微软雅黑" w:hAnsi="微软雅黑" w:eastAsia="微软雅黑" w:cs="微软雅黑"/>
                <w:b/>
                <w:bCs/>
                <w:color w:val="262626" w:themeColor="text1" w:themeTint="D9"/>
                <w:sz w:val="20"/>
                <w:szCs w:val="20"/>
                <w14:textFill>
                  <w14:solidFill>
                    <w14:schemeClr w14:val="tx1">
                      <w14:lumMod w14:val="85000"/>
                      <w14:lumOff w14:val="15000"/>
                    </w14:schemeClr>
                  </w14:solidFill>
                </w14:textFill>
              </w:rPr>
              <w:t>用药解析</w:t>
            </w:r>
          </w:p>
          <w:bookmarkEnd w:id="9"/>
          <w:bookmarkEnd w:id="10"/>
          <w:p>
            <w:pPr>
              <w:snapToGrid w:val="0"/>
              <w:spacing w:line="300" w:lineRule="auto"/>
              <w:rPr>
                <w:rFonts w:ascii="微软雅黑" w:hAnsi="微软雅黑" w:eastAsia="微软雅黑" w:cs="Times New Roman"/>
              </w:rPr>
            </w:pPr>
            <w:r>
              <w:rPr>
                <w:rFonts w:hint="eastAsia" w:ascii="微软雅黑" w:hAnsi="微软雅黑" w:eastAsia="微软雅黑" w:cs="Times New Roman"/>
              </w:rPr>
              <w:t>PIK3CA激活突变可能导致PIK3CA/AKT/</w:t>
            </w:r>
            <w:r>
              <w:rPr>
                <w:rFonts w:ascii="微软雅黑" w:hAnsi="微软雅黑" w:eastAsia="微软雅黑" w:cs="Times New Roman"/>
              </w:rPr>
              <w:t>MTOR</w:t>
            </w:r>
            <w:r>
              <w:rPr>
                <w:rFonts w:hint="eastAsia" w:ascii="微软雅黑" w:hAnsi="微软雅黑" w:eastAsia="微软雅黑" w:cs="Times New Roman"/>
              </w:rPr>
              <w:t>通路的过度活化，提示该基因突变可能对PIK3CA/AKT/mTOR通路抑制剂敏感（</w:t>
            </w:r>
            <w:r>
              <w:rPr>
                <w:rFonts w:ascii="微软雅黑" w:hAnsi="微软雅黑" w:eastAsia="微软雅黑" w:cs="Times New Roman"/>
              </w:rPr>
              <w:t>PMID: 24440717</w:t>
            </w:r>
            <w:r>
              <w:rPr>
                <w:rFonts w:hint="eastAsia" w:ascii="微软雅黑" w:hAnsi="微软雅黑" w:eastAsia="微软雅黑" w:cs="Times New Roman"/>
              </w:rPr>
              <w:t>）。</w:t>
            </w:r>
          </w:p>
          <w:p>
            <w:pPr>
              <w:snapToGrid w:val="0"/>
              <w:spacing w:line="300" w:lineRule="auto"/>
              <w:rPr>
                <w:rFonts w:ascii="微软雅黑" w:hAnsi="微软雅黑" w:eastAsia="微软雅黑" w:cs="Times New Roman"/>
              </w:rPr>
            </w:pPr>
            <w:bookmarkStart w:id="11" w:name="OLE_LINK6"/>
            <w:bookmarkStart w:id="12" w:name="OLE_LINK1"/>
            <w:bookmarkStart w:id="13" w:name="OLE_LINK20"/>
            <w:bookmarkStart w:id="14" w:name="OLE_LINK12"/>
            <w:r>
              <w:rPr>
                <w:rFonts w:ascii="微软雅黑" w:hAnsi="微软雅黑" w:eastAsia="微软雅黑" w:cs="Times New Roman"/>
              </w:rPr>
              <w:t>FDA</w:t>
            </w:r>
            <w:r>
              <w:rPr>
                <w:rFonts w:hint="eastAsia" w:ascii="微软雅黑" w:hAnsi="微软雅黑" w:eastAsia="微软雅黑" w:cs="Times New Roman"/>
              </w:rPr>
              <w:t>批准mTOR抑制剂</w:t>
            </w:r>
            <w:bookmarkEnd w:id="11"/>
            <w:bookmarkEnd w:id="12"/>
            <w:r>
              <w:rPr>
                <w:rFonts w:hint="eastAsia" w:ascii="微软雅黑" w:hAnsi="微软雅黑" w:eastAsia="微软雅黑" w:cs="Times New Roman"/>
              </w:rPr>
              <w:t>依维莫司（</w:t>
            </w:r>
            <w:bookmarkStart w:id="15" w:name="OLE_LINK23"/>
            <w:bookmarkStart w:id="16" w:name="OLE_LINK25"/>
            <w:r>
              <w:rPr>
                <w:rFonts w:ascii="微软雅黑" w:hAnsi="微软雅黑" w:eastAsia="微软雅黑" w:cs="Times New Roman"/>
              </w:rPr>
              <w:t>Everolimus</w:t>
            </w:r>
            <w:bookmarkEnd w:id="15"/>
            <w:bookmarkEnd w:id="16"/>
            <w:r>
              <w:rPr>
                <w:rFonts w:hint="eastAsia" w:ascii="微软雅黑" w:hAnsi="微软雅黑" w:eastAsia="微软雅黑" w:cs="Times New Roman"/>
              </w:rPr>
              <w:t>）用于需要治疗但不能做根治性切除的儿童和成人伴随结节性硬化症(TSC)的室管膜下巨细胞星形细胞瘤(SEGA)患者（星形细胞瘤是胶质瘤的一种）。</w:t>
            </w:r>
            <w:bookmarkEnd w:id="13"/>
            <w:bookmarkEnd w:id="14"/>
          </w:p>
          <w:p>
            <w:pPr>
              <w:snapToGrid w:val="0"/>
              <w:spacing w:line="300" w:lineRule="auto"/>
              <w:rPr>
                <w:rFonts w:ascii="微软雅黑" w:hAnsi="微软雅黑" w:eastAsia="微软雅黑" w:cs="Times New Roman"/>
              </w:rPr>
            </w:pPr>
            <w:r>
              <w:rPr>
                <w:rFonts w:hint="eastAsia" w:ascii="微软雅黑" w:hAnsi="微软雅黑" w:eastAsia="微软雅黑" w:cs="Times New Roman"/>
              </w:rPr>
              <w:t>FDA批准PIK3CA抑制剂</w:t>
            </w:r>
            <w:r>
              <w:rPr>
                <w:rFonts w:ascii="微软雅黑" w:hAnsi="微软雅黑" w:eastAsia="微软雅黑" w:cs="Times New Roman"/>
              </w:rPr>
              <w:t>Idelalisib</w:t>
            </w:r>
            <w:r>
              <w:rPr>
                <w:rFonts w:hint="eastAsia" w:ascii="微软雅黑" w:hAnsi="微软雅黑" w:eastAsia="微软雅黑" w:cs="Times New Roman"/>
              </w:rPr>
              <w:t>用于慢性淋巴细胞白血病(CLL)和淋巴瘤的治疗中。尚未批准用于PIK3CA突变的胶质瘤。</w:t>
            </w:r>
          </w:p>
          <w:p>
            <w:pPr>
              <w:snapToGrid w:val="0"/>
              <w:spacing w:line="300" w:lineRule="auto"/>
              <w:rPr>
                <w:rFonts w:ascii="微软雅黑" w:hAnsi="微软雅黑" w:eastAsia="微软雅黑" w:cs="Times New Roman"/>
              </w:rPr>
            </w:pPr>
            <w:r>
              <w:rPr>
                <w:rFonts w:ascii="微软雅黑" w:hAnsi="微软雅黑" w:eastAsia="微软雅黑" w:cs="Times New Roman"/>
              </w:rPr>
              <w:t>FDA</w:t>
            </w:r>
            <w:r>
              <w:rPr>
                <w:rFonts w:hint="eastAsia" w:ascii="微软雅黑" w:hAnsi="微软雅黑" w:eastAsia="微软雅黑" w:cs="Times New Roman"/>
              </w:rPr>
              <w:t>批准mTOR抑制剂坦西莫司（</w:t>
            </w:r>
            <w:r>
              <w:rPr>
                <w:rFonts w:ascii="微软雅黑" w:hAnsi="微软雅黑" w:eastAsia="微软雅黑" w:cs="Times New Roman"/>
              </w:rPr>
              <w:t>Temsirolimus</w:t>
            </w:r>
            <w:r>
              <w:rPr>
                <w:rFonts w:hint="eastAsia" w:ascii="微软雅黑" w:hAnsi="微软雅黑" w:eastAsia="微软雅黑" w:cs="Times New Roman"/>
              </w:rPr>
              <w:t xml:space="preserve">）获批用于肾癌的治疗，但mTOR抑制剂通常需要和其它药物联合应用。 </w:t>
            </w:r>
          </w:p>
          <w:p>
            <w:pPr>
              <w:pStyle w:val="63"/>
              <w:numPr>
                <w:ilvl w:val="0"/>
                <w:numId w:val="1"/>
              </w:numPr>
              <w:snapToGrid w:val="0"/>
              <w:spacing w:line="300" w:lineRule="auto"/>
              <w:ind w:firstLineChars="0"/>
              <w:jc w:val="left"/>
              <w:rPr>
                <w:rFonts w:ascii="微软雅黑" w:hAnsi="微软雅黑" w:eastAsia="微软雅黑" w:cs="微软雅黑"/>
                <w:b/>
                <w:bCs/>
                <w:color w:val="262626" w:themeColor="text1" w:themeTint="D9"/>
                <w:sz w:val="20"/>
                <w:szCs w:val="20"/>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0"/>
                <w:szCs w:val="20"/>
                <w14:textFill>
                  <w14:solidFill>
                    <w14:schemeClr w14:val="tx1">
                      <w14:lumMod w14:val="85000"/>
                      <w14:lumOff w14:val="15000"/>
                    </w14:schemeClr>
                  </w14:solidFill>
                </w14:textFill>
              </w:rPr>
              <w:t>临床试验</w:t>
            </w:r>
          </w:p>
          <w:p>
            <w:pPr>
              <w:snapToGrid w:val="0"/>
              <w:spacing w:line="300" w:lineRule="auto"/>
              <w:rPr>
                <w:rFonts w:ascii="微软雅黑" w:hAnsi="微软雅黑" w:eastAsia="微软雅黑" w:cs="Times New Roman"/>
              </w:rPr>
            </w:pPr>
            <w:r>
              <w:rPr>
                <w:rFonts w:ascii="微软雅黑" w:hAnsi="微软雅黑" w:eastAsia="微软雅黑" w:cs="Times New Roman"/>
              </w:rPr>
              <w:t>PIK3CA</w:t>
            </w:r>
            <w:r>
              <w:rPr>
                <w:rFonts w:hint="eastAsia" w:ascii="微软雅黑" w:hAnsi="微软雅黑" w:eastAsia="微软雅黑" w:cs="Times New Roman"/>
              </w:rPr>
              <w:t>抑制剂Bu</w:t>
            </w:r>
            <w:r>
              <w:rPr>
                <w:rFonts w:ascii="微软雅黑" w:hAnsi="微软雅黑" w:eastAsia="微软雅黑" w:cs="Times New Roman"/>
              </w:rPr>
              <w:t>parlisib</w:t>
            </w:r>
            <w:r>
              <w:rPr>
                <w:rFonts w:hint="eastAsia" w:ascii="微软雅黑" w:hAnsi="微软雅黑" w:eastAsia="微软雅黑" w:cs="Times New Roman"/>
              </w:rPr>
              <w:t>和AKT抑制剂GDC-</w:t>
            </w:r>
            <w:r>
              <w:rPr>
                <w:rFonts w:ascii="微软雅黑" w:hAnsi="微软雅黑" w:eastAsia="微软雅黑" w:cs="Times New Roman"/>
              </w:rPr>
              <w:t>0068</w:t>
            </w:r>
            <w:r>
              <w:rPr>
                <w:rFonts w:hint="eastAsia" w:ascii="微软雅黑" w:hAnsi="微软雅黑" w:eastAsia="微软雅黑" w:cs="Times New Roman"/>
              </w:rPr>
              <w:t>用于治疗胶质瘤的研究处于临床试验阶段。</w:t>
            </w:r>
          </w:p>
        </w:tc>
      </w:tr>
      <w:tr>
        <w:tblPrEx>
          <w:tblBorders>
            <w:top w:val="single" w:color="A4A4A4" w:themeColor="background1" w:themeShade="A5" w:sz="8" w:space="0"/>
            <w:left w:val="none" w:color="auto" w:sz="0" w:space="0"/>
            <w:bottom w:val="single" w:color="A4A4A4" w:themeColor="background1" w:themeShade="A5" w:sz="8" w:space="0"/>
            <w:right w:val="none" w:color="auto" w:sz="0" w:space="0"/>
            <w:insideH w:val="single" w:color="A4A4A4" w:themeColor="background1" w:themeShade="A5" w:sz="8" w:space="0"/>
            <w:insideV w:val="none" w:color="auto" w:sz="0" w:space="0"/>
          </w:tblBorders>
          <w:tblLayout w:type="fixed"/>
          <w:tblCellMar>
            <w:top w:w="0" w:type="dxa"/>
            <w:left w:w="108" w:type="dxa"/>
            <w:bottom w:w="0" w:type="dxa"/>
            <w:right w:w="108" w:type="dxa"/>
          </w:tblCellMar>
        </w:tblPrEx>
        <w:trPr>
          <w:cantSplit/>
          <w:trHeight w:val="1788" w:hRule="atLeast"/>
          <w:jc w:val="center"/>
        </w:trPr>
        <w:tc>
          <w:tcPr>
            <w:tcW w:w="1560" w:type="dxa"/>
            <w:tcBorders>
              <w:tl2br w:val="nil"/>
              <w:tr2bl w:val="nil"/>
            </w:tcBorders>
            <w:shd w:val="clear" w:color="auto" w:fill="FFFFFF"/>
            <w:vAlign w:val="center"/>
          </w:tcPr>
          <w:p>
            <w:pPr>
              <w:jc w:val="center"/>
              <w:rPr>
                <w:rFonts w:ascii="微软雅黑" w:hAnsi="微软雅黑" w:eastAsia="微软雅黑" w:cs="Times New Roman"/>
                <w:b/>
                <w:i/>
                <w:color w:val="000000" w:themeColor="text1"/>
                <w14:textFill>
                  <w14:solidFill>
                    <w14:schemeClr w14:val="tx1"/>
                  </w14:solidFill>
                </w14:textFill>
              </w:rPr>
            </w:pPr>
            <w:r>
              <w:rPr>
                <w:rFonts w:hint="eastAsia" w:ascii="微软雅黑" w:hAnsi="微软雅黑" w:eastAsia="微软雅黑" w:cs="Times New Roman"/>
                <w:b/>
                <w:i/>
                <w:color w:val="000000" w:themeColor="text1"/>
                <w14:textFill>
                  <w14:solidFill>
                    <w14:schemeClr w14:val="tx1"/>
                  </w14:solidFill>
                </w14:textFill>
              </w:rPr>
              <w:t>T</w:t>
            </w:r>
            <w:r>
              <w:rPr>
                <w:rFonts w:ascii="微软雅黑" w:hAnsi="微软雅黑" w:eastAsia="微软雅黑" w:cs="Times New Roman"/>
                <w:b/>
                <w:i/>
                <w:color w:val="000000" w:themeColor="text1"/>
                <w14:textFill>
                  <w14:solidFill>
                    <w14:schemeClr w14:val="tx1"/>
                  </w14:solidFill>
                </w14:textFill>
              </w:rPr>
              <w:t>P53</w:t>
            </w:r>
          </w:p>
          <w:p>
            <w:pPr>
              <w:ind w:firstLine="200" w:firstLineChars="100"/>
              <w:jc w:val="center"/>
            </w:pPr>
            <w:r>
              <w:rPr>
                <w:rFonts w:ascii="微软雅黑" w:hAnsi="微软雅黑" w:eastAsia="微软雅黑"/>
                <w:b/>
                <w:color w:val="000000" w:themeColor="text1"/>
                <w14:textFill>
                  <w14:solidFill>
                    <w14:schemeClr w14:val="tx1"/>
                  </w14:solidFill>
                </w14:textFill>
              </w:rPr>
              <w:t>p.</w:t>
            </w:r>
            <w:r>
              <w:rPr>
                <w:rFonts w:hint="eastAsia" w:ascii="微软雅黑" w:hAnsi="微软雅黑" w:eastAsia="微软雅黑"/>
                <w:b/>
                <w:color w:val="000000" w:themeColor="text1"/>
                <w14:textFill>
                  <w14:solidFill>
                    <w14:schemeClr w14:val="tx1"/>
                  </w14:solidFill>
                </w14:textFill>
              </w:rPr>
              <w:t>P</w:t>
            </w:r>
            <w:r>
              <w:rPr>
                <w:rFonts w:ascii="微软雅黑" w:hAnsi="微软雅黑" w:eastAsia="微软雅黑"/>
                <w:b/>
                <w:color w:val="000000" w:themeColor="text1"/>
                <w14:textFill>
                  <w14:solidFill>
                    <w14:schemeClr w14:val="tx1"/>
                  </w14:solidFill>
                </w14:textFill>
              </w:rPr>
              <w:t>177L</w:t>
            </w:r>
          </w:p>
        </w:tc>
        <w:tc>
          <w:tcPr>
            <w:tcW w:w="8281" w:type="dxa"/>
            <w:tcBorders>
              <w:tl2br w:val="nil"/>
              <w:tr2bl w:val="nil"/>
            </w:tcBorders>
            <w:shd w:val="clear" w:color="auto" w:fill="FFFFFF"/>
            <w:vAlign w:val="center"/>
          </w:tcPr>
          <w:p>
            <w:pPr>
              <w:snapToGrid w:val="0"/>
              <w:spacing w:before="156" w:beforeLines="50" w:after="156" w:afterLines="50" w:line="300" w:lineRule="auto"/>
              <w:rPr>
                <w:rFonts w:ascii="微软雅黑" w:hAnsi="微软雅黑" w:eastAsia="微软雅黑" w:cs="Times New Roman"/>
              </w:rPr>
            </w:pPr>
            <w:r>
              <w:rPr>
                <w:rFonts w:hint="eastAsia" w:ascii="微软雅黑" w:hAnsi="微软雅黑" w:eastAsia="微软雅黑" w:cs="Times New Roman"/>
              </w:rPr>
              <w:t>该突变是一个错义突变。目前，美国FDA没有批准任何针对TP53的靶向药物、基因疗法、靶向肿瘤疫苗。抗癌药物正处于临床试验早期，这些药物包含APR-246（PRIMA-1 MET）、MK-1775(AZD1775)、ALT-801。也有研究携带TP53突变的癌细胞对Aurora A激酶抑制剂Alisertib敏感，该药用于治疗非小细胞肺癌的研究正处于临床II期研究当中(NCT02293005)。AZD1775治疗实体瘤的临床试验正在进行中(NCT02610075)。</w:t>
            </w:r>
          </w:p>
        </w:tc>
      </w:tr>
    </w:tbl>
    <w:p>
      <w:pPr>
        <w:rPr>
          <w:rFonts w:ascii="微软雅黑" w:hAnsi="微软雅黑" w:eastAsia="微软雅黑" w:cs="Times New Roman"/>
          <w:sz w:val="18"/>
          <w:szCs w:val="18"/>
        </w:rPr>
      </w:pPr>
    </w:p>
    <w:p>
      <w:pPr>
        <w:rPr>
          <w:rFonts w:ascii="微软雅黑" w:hAnsi="微软雅黑" w:eastAsia="微软雅黑" w:cs="Times New Roman"/>
          <w:sz w:val="18"/>
          <w:szCs w:val="18"/>
        </w:rPr>
      </w:pPr>
    </w:p>
    <w:p>
      <w:pPr>
        <w:rPr>
          <w:rFonts w:ascii="微软雅黑" w:hAnsi="微软雅黑" w:eastAsia="微软雅黑" w:cs="Times New Roman"/>
          <w:sz w:val="18"/>
          <w:szCs w:val="18"/>
        </w:rPr>
      </w:pPr>
    </w:p>
    <w:p>
      <w:pPr>
        <w:rPr>
          <w:rFonts w:ascii="微软雅黑" w:hAnsi="微软雅黑" w:eastAsia="微软雅黑" w:cs="Times New Roman"/>
          <w:sz w:val="18"/>
          <w:szCs w:val="18"/>
        </w:rPr>
      </w:pPr>
    </w:p>
    <w:p>
      <w:pPr>
        <w:rPr>
          <w:rFonts w:ascii="微软雅黑" w:hAnsi="微软雅黑" w:eastAsia="微软雅黑" w:cs="Times New Roman"/>
          <w:sz w:val="18"/>
          <w:szCs w:val="18"/>
        </w:rPr>
      </w:pPr>
    </w:p>
    <w:p>
      <w:pPr>
        <w:rPr>
          <w:rFonts w:ascii="微软雅黑" w:hAnsi="微软雅黑" w:eastAsia="微软雅黑" w:cstheme="majorBidi"/>
          <w:b/>
          <w:bCs/>
          <w:color w:val="000000" w:themeColor="text1"/>
          <w:kern w:val="2"/>
          <w:sz w:val="32"/>
          <w:szCs w:val="22"/>
          <w14:textFill>
            <w14:solidFill>
              <w14:schemeClr w14:val="tx1"/>
            </w14:solidFill>
          </w14:textFill>
        </w:rPr>
      </w:pPr>
      <w:r>
        <w:rPr>
          <w:rFonts w:hint="eastAsia" w:ascii="微软雅黑" w:hAnsi="微软雅黑" w:eastAsia="微软雅黑"/>
          <w:sz w:val="36"/>
          <w:szCs w:val="36"/>
        </w:rPr>
        <w:t>后续建议</w:t>
      </w:r>
    </w:p>
    <w:p>
      <w:pPr>
        <w:rPr>
          <w:rFonts w:ascii="微软雅黑" w:hAnsi="微软雅黑" w:eastAsia="微软雅黑" w:cs="Times New Roman"/>
          <w:sz w:val="18"/>
          <w:szCs w:val="18"/>
        </w:rPr>
      </w:pPr>
    </w:p>
    <w:p>
      <w:pPr>
        <w:ind w:firstLine="360" w:firstLineChars="200"/>
        <w:rPr>
          <w:rFonts w:ascii="微软雅黑" w:hAnsi="微软雅黑" w:eastAsia="微软雅黑" w:cstheme="majorBidi"/>
          <w:color w:val="000000" w:themeColor="text1"/>
          <w:sz w:val="36"/>
          <w:szCs w:val="24"/>
          <w14:textFill>
            <w14:solidFill>
              <w14:schemeClr w14:val="tx1"/>
            </w14:solidFill>
          </w14:textFill>
        </w:rPr>
      </w:pPr>
      <w:r>
        <w:rPr>
          <w:rFonts w:hint="eastAsia" w:ascii="微软雅黑" w:hAnsi="微软雅黑" w:eastAsia="微软雅黑" w:cs="Times New Roman"/>
          <w:b/>
          <w:sz w:val="18"/>
          <w:szCs w:val="18"/>
        </w:rPr>
        <w:t>综合以上检测信息，建议受检者咨询临床医生，综合考虑药物使用。</w:t>
      </w:r>
      <w:r>
        <w:rPr>
          <w:rFonts w:hint="eastAsia" w:ascii="微软雅黑" w:hAnsi="微软雅黑" w:eastAsia="微软雅黑" w:cs="Times New Roman"/>
          <w:sz w:val="18"/>
          <w:szCs w:val="18"/>
        </w:rPr>
        <w:t>在身体和经济条件允许的情况下定期做基因检测，实时监测新的突变发生，及时评估病情发展以及用药需求。</w:t>
      </w:r>
    </w:p>
    <w:p>
      <w:pPr>
        <w:rPr>
          <w:rFonts w:ascii="微软雅黑" w:hAnsi="微软雅黑" w:eastAsia="微软雅黑" w:cstheme="majorBidi"/>
          <w:color w:val="000000" w:themeColor="text1"/>
          <w:sz w:val="36"/>
          <w:szCs w:val="24"/>
          <w14:textFill>
            <w14:solidFill>
              <w14:schemeClr w14:val="tx1"/>
            </w14:solidFill>
          </w14:textFill>
        </w:rPr>
      </w:pPr>
    </w:p>
    <w:p>
      <w:pPr>
        <w:rPr>
          <w:rFonts w:ascii="微软雅黑" w:hAnsi="微软雅黑" w:eastAsia="微软雅黑" w:cstheme="majorBidi"/>
          <w:color w:val="000000" w:themeColor="text1"/>
          <w:sz w:val="36"/>
          <w:szCs w:val="24"/>
          <w14:textFill>
            <w14:solidFill>
              <w14:schemeClr w14:val="tx1"/>
            </w14:solidFill>
          </w14:textFill>
        </w:rPr>
      </w:pPr>
      <w:r>
        <w:rPr>
          <w:sz w:val="28"/>
        </w:rPr>
        <mc:AlternateContent>
          <mc:Choice Requires="wps">
            <w:drawing>
              <wp:anchor distT="0" distB="0" distL="114300" distR="114300" simplePos="0" relativeHeight="251669504" behindDoc="0" locked="0" layoutInCell="1" allowOverlap="1">
                <wp:simplePos x="0" y="0"/>
                <wp:positionH relativeFrom="column">
                  <wp:posOffset>-38100</wp:posOffset>
                </wp:positionH>
                <wp:positionV relativeFrom="paragraph">
                  <wp:posOffset>76200</wp:posOffset>
                </wp:positionV>
                <wp:extent cx="6191250" cy="419100"/>
                <wp:effectExtent l="0" t="0" r="0" b="0"/>
                <wp:wrapNone/>
                <wp:docPr id="21" name="自选图形 68"/>
                <wp:cNvGraphicFramePr/>
                <a:graphic xmlns:a="http://schemas.openxmlformats.org/drawingml/2006/main">
                  <a:graphicData uri="http://schemas.microsoft.com/office/word/2010/wordprocessingShape">
                    <wps:wsp>
                      <wps:cNvSpPr/>
                      <wps:spPr>
                        <a:xfrm>
                          <a:off x="0" y="0"/>
                          <a:ext cx="6191250" cy="419100"/>
                        </a:xfrm>
                        <a:prstGeom prst="flowChartAlternateProcess">
                          <a:avLst/>
                        </a:prstGeom>
                        <a:solidFill>
                          <a:srgbClr val="558ED5"/>
                        </a:solidFill>
                        <a:ln w="9525">
                          <a:noFill/>
                        </a:ln>
                      </wps:spPr>
                      <wps:bodyPr upright="1"/>
                    </wps:wsp>
                  </a:graphicData>
                </a:graphic>
              </wp:anchor>
            </w:drawing>
          </mc:Choice>
          <mc:Fallback>
            <w:pict>
              <v:shape id="自选图形 68" o:spid="_x0000_s1026" o:spt="176" type="#_x0000_t176" style="position:absolute;left:0pt;margin-left:-3pt;margin-top:6pt;height:33pt;width:487.5pt;z-index:251669504;mso-width-relative:page;mso-height-relative:page;" fillcolor="#558ED5" filled="t" stroked="f" coordsize="21600,21600" o:gfxdata="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ek6bV1AAAAAgBAAAPAAAAAAAAAAEAIAAAACIAAABkcnMvZG93bnJldi54bWxQSwECFAAUAAAA&#10;CACHTuJALPjYEbkBAAA3AwAADgAAAAAAAAABACAAAAAjAQAAZHJzL2Uyb0RvYy54bWxQSwUGAAAA&#10;AAYABgBZAQAATgUAAAAA&#10;">
                <v:fill on="t" focussize="0,0"/>
                <v:stroke on="f"/>
                <v:imagedata o:title=""/>
                <o:lock v:ext="edit" aspectratio="f"/>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514350</wp:posOffset>
                </wp:positionH>
                <wp:positionV relativeFrom="paragraph">
                  <wp:posOffset>-66675</wp:posOffset>
                </wp:positionV>
                <wp:extent cx="4638675" cy="628015"/>
                <wp:effectExtent l="0" t="0" r="0" b="635"/>
                <wp:wrapNone/>
                <wp:docPr id="22" name="文本框 69"/>
                <wp:cNvGraphicFramePr/>
                <a:graphic xmlns:a="http://schemas.openxmlformats.org/drawingml/2006/main">
                  <a:graphicData uri="http://schemas.microsoft.com/office/word/2010/wordprocessingShape">
                    <wps:wsp>
                      <wps:cNvSpPr txBox="1"/>
                      <wps:spPr>
                        <a:xfrm>
                          <a:off x="0" y="0"/>
                          <a:ext cx="4638675" cy="628015"/>
                        </a:xfrm>
                        <a:prstGeom prst="rect">
                          <a:avLst/>
                        </a:prstGeom>
                        <a:noFill/>
                        <a:ln w="9525">
                          <a:noFill/>
                        </a:ln>
                      </wps:spPr>
                      <wps:txbx>
                        <w:txbxContent>
                          <w:p>
                            <w:pPr>
                              <w:jc w:val="center"/>
                              <w:rPr>
                                <w:rFonts w:ascii="微软雅黑" w:hAnsi="微软雅黑" w:eastAsia="微软雅黑" w:cs="微软雅黑"/>
                                <w:color w:val="FFFFFF" w:themeColor="background1"/>
                                <w:sz w:val="44"/>
                                <w:szCs w:val="44"/>
                                <w14:textFill>
                                  <w14:solidFill>
                                    <w14:schemeClr w14:val="bg1"/>
                                  </w14:solidFill>
                                </w14:textFill>
                              </w:rPr>
                            </w:pPr>
                            <w:r>
                              <w:rPr>
                                <w:rStyle w:val="50"/>
                                <w:rFonts w:hint="eastAsia" w:ascii="微软雅黑" w:hAnsi="微软雅黑" w:eastAsia="微软雅黑"/>
                                <w:b w:val="0"/>
                                <w:color w:val="FFFFFF" w:themeColor="background1"/>
                                <w14:textFill>
                                  <w14:solidFill>
                                    <w14:schemeClr w14:val="bg1"/>
                                  </w14:solidFill>
                                </w14:textFill>
                              </w:rPr>
                              <w:t xml:space="preserve"> </w:t>
                            </w:r>
                            <w:bookmarkStart w:id="43" w:name="_Toc482020203"/>
                            <w:bookmarkStart w:id="44" w:name="_Toc487814220"/>
                            <w:r>
                              <w:rPr>
                                <w:rStyle w:val="59"/>
                                <w:rFonts w:hint="eastAsia" w:ascii="微软雅黑" w:hAnsi="微软雅黑" w:eastAsia="微软雅黑"/>
                                <w:b w:val="0"/>
                                <w:color w:val="FFFFFF" w:themeColor="background1"/>
                                <w14:textFill>
                                  <w14:solidFill>
                                    <w14:schemeClr w14:val="bg1"/>
                                  </w14:solidFill>
                                </w14:textFill>
                              </w:rPr>
                              <w:t>化疗相关基因SNP结果解析</w:t>
                            </w:r>
                            <w:bookmarkEnd w:id="43"/>
                            <w:bookmarkEnd w:id="44"/>
                          </w:p>
                          <w:p>
                            <w:pPr>
                              <w:rPr>
                                <w:rFonts w:ascii="微软雅黑" w:hAnsi="微软雅黑" w:eastAsia="微软雅黑" w:cs="微软雅黑"/>
                                <w:color w:val="FFFFFF" w:themeColor="background1"/>
                                <w:sz w:val="44"/>
                                <w:szCs w:val="44"/>
                                <w14:textFill>
                                  <w14:solidFill>
                                    <w14:schemeClr w14:val="bg1"/>
                                  </w14:solidFill>
                                </w14:textFill>
                              </w:rPr>
                            </w:pPr>
                          </w:p>
                        </w:txbxContent>
                      </wps:txbx>
                      <wps:bodyPr vert="horz" wrap="square" anchor="t" upright="1">
                        <a:noAutofit/>
                      </wps:bodyPr>
                    </wps:wsp>
                  </a:graphicData>
                </a:graphic>
              </wp:anchor>
            </w:drawing>
          </mc:Choice>
          <mc:Fallback>
            <w:pict>
              <v:shape id="文本框 69" o:spid="_x0000_s1026" o:spt="202" type="#_x0000_t202" style="position:absolute;left:0pt;margin-left:40.5pt;margin-top:-5.25pt;height:49.45pt;width:365.25pt;z-index:251670528;mso-width-relative:page;mso-height-relative:page;" filled="f" stroked="f" coordsize="21600,21600" o:gfxdata="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iISHj9YAAAAJAQAADwAAAAAAAAABACAAAAAiAAAAZHJzL2Rvd25yZXYueG1s&#10;UEsBAhQAFAAAAAgAh07iQDpbeDvBAQAASgMAAA4AAAAAAAAAAQAgAAAAJQEAAGRycy9lMm9Eb2Mu&#10;eG1sUEsFBgAAAAAGAAYAWQEAAFgFAAAAAA==&#10;">
                <v:fill on="f" focussize="0,0"/>
                <v:stroke on="f"/>
                <v:imagedata o:title=""/>
                <o:lock v:ext="edit" aspectratio="f"/>
                <v:textbox>
                  <w:txbxContent>
                    <w:p>
                      <w:pPr>
                        <w:jc w:val="center"/>
                        <w:rPr>
                          <w:rFonts w:ascii="微软雅黑" w:hAnsi="微软雅黑" w:eastAsia="微软雅黑" w:cs="微软雅黑"/>
                          <w:color w:val="FFFFFF" w:themeColor="background1"/>
                          <w:sz w:val="44"/>
                          <w:szCs w:val="44"/>
                          <w14:textFill>
                            <w14:solidFill>
                              <w14:schemeClr w14:val="bg1"/>
                            </w14:solidFill>
                          </w14:textFill>
                        </w:rPr>
                      </w:pPr>
                      <w:r>
                        <w:rPr>
                          <w:rStyle w:val="50"/>
                          <w:rFonts w:hint="eastAsia" w:ascii="微软雅黑" w:hAnsi="微软雅黑" w:eastAsia="微软雅黑"/>
                          <w:b w:val="0"/>
                          <w:color w:val="FFFFFF" w:themeColor="background1"/>
                          <w14:textFill>
                            <w14:solidFill>
                              <w14:schemeClr w14:val="bg1"/>
                            </w14:solidFill>
                          </w14:textFill>
                        </w:rPr>
                        <w:t xml:space="preserve"> </w:t>
                      </w:r>
                      <w:bookmarkStart w:id="43" w:name="_Toc482020203"/>
                      <w:bookmarkStart w:id="44" w:name="_Toc487814220"/>
                      <w:r>
                        <w:rPr>
                          <w:rStyle w:val="59"/>
                          <w:rFonts w:hint="eastAsia" w:ascii="微软雅黑" w:hAnsi="微软雅黑" w:eastAsia="微软雅黑"/>
                          <w:b w:val="0"/>
                          <w:color w:val="FFFFFF" w:themeColor="background1"/>
                          <w14:textFill>
                            <w14:solidFill>
                              <w14:schemeClr w14:val="bg1"/>
                            </w14:solidFill>
                          </w14:textFill>
                        </w:rPr>
                        <w:t>化疗相关基因SNP结果解析</w:t>
                      </w:r>
                      <w:bookmarkEnd w:id="43"/>
                      <w:bookmarkEnd w:id="44"/>
                    </w:p>
                    <w:p>
                      <w:pPr>
                        <w:rPr>
                          <w:rFonts w:ascii="微软雅黑" w:hAnsi="微软雅黑" w:eastAsia="微软雅黑" w:cs="微软雅黑"/>
                          <w:color w:val="FFFFFF" w:themeColor="background1"/>
                          <w:sz w:val="44"/>
                          <w:szCs w:val="44"/>
                          <w14:textFill>
                            <w14:solidFill>
                              <w14:schemeClr w14:val="bg1"/>
                            </w14:solidFill>
                          </w14:textFill>
                        </w:rPr>
                      </w:pPr>
                    </w:p>
                  </w:txbxContent>
                </v:textbox>
              </v:shape>
            </w:pict>
          </mc:Fallback>
        </mc:AlternateContent>
      </w:r>
    </w:p>
    <w:p>
      <w:pPr>
        <w:rPr>
          <w:rFonts w:ascii="微软雅黑" w:hAnsi="微软雅黑" w:eastAsia="微软雅黑" w:cstheme="majorBidi"/>
          <w:color w:val="000000" w:themeColor="text1"/>
          <w:sz w:val="10"/>
          <w:szCs w:val="10"/>
          <w14:textFill>
            <w14:solidFill>
              <w14:schemeClr w14:val="tx1"/>
            </w14:solidFill>
          </w14:textFill>
        </w:rPr>
      </w:pPr>
    </w:p>
    <w:tbl>
      <w:tblPr>
        <w:tblStyle w:val="21"/>
        <w:tblW w:w="9680" w:type="dxa"/>
        <w:jc w:val="center"/>
        <w:tblInd w:w="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
      <w:tblGrid>
        <w:gridCol w:w="1068"/>
        <w:gridCol w:w="1140"/>
        <w:gridCol w:w="570"/>
        <w:gridCol w:w="5325"/>
        <w:gridCol w:w="585"/>
        <w:gridCol w:w="992"/>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Align w:val="center"/>
          </w:tcPr>
          <w:p>
            <w:pPr>
              <w:jc w:val="center"/>
              <w:rPr>
                <w:rFonts w:ascii="微软雅黑" w:hAnsi="微软雅黑" w:eastAsia="微软雅黑" w:cs="微软雅黑"/>
                <w:b/>
                <w:color w:val="000000"/>
                <w:sz w:val="15"/>
                <w:szCs w:val="15"/>
              </w:rPr>
            </w:pPr>
            <w:r>
              <w:rPr>
                <w:rFonts w:hint="eastAsia" w:ascii="微软雅黑" w:hAnsi="微软雅黑" w:eastAsia="微软雅黑" w:cs="微软雅黑"/>
                <w:b/>
                <w:color w:val="000000"/>
                <w:sz w:val="15"/>
                <w:szCs w:val="15"/>
              </w:rPr>
              <w:t>药物</w:t>
            </w:r>
          </w:p>
        </w:tc>
        <w:tc>
          <w:tcPr>
            <w:tcW w:w="1140" w:type="dxa"/>
            <w:vAlign w:val="center"/>
          </w:tcPr>
          <w:p>
            <w:pPr>
              <w:jc w:val="center"/>
              <w:rPr>
                <w:rFonts w:ascii="微软雅黑" w:hAnsi="微软雅黑" w:eastAsia="微软雅黑" w:cs="微软雅黑"/>
                <w:b/>
                <w:color w:val="000000"/>
                <w:sz w:val="15"/>
                <w:szCs w:val="15"/>
              </w:rPr>
            </w:pPr>
            <w:r>
              <w:rPr>
                <w:rFonts w:hint="eastAsia" w:ascii="微软雅黑" w:hAnsi="微软雅黑" w:eastAsia="微软雅黑" w:cs="微软雅黑"/>
                <w:b/>
                <w:color w:val="000000"/>
                <w:sz w:val="15"/>
                <w:szCs w:val="15"/>
              </w:rPr>
              <w:t>基因位点</w:t>
            </w:r>
          </w:p>
        </w:tc>
        <w:tc>
          <w:tcPr>
            <w:tcW w:w="570" w:type="dxa"/>
            <w:vAlign w:val="center"/>
          </w:tcPr>
          <w:p>
            <w:pPr>
              <w:jc w:val="center"/>
              <w:rPr>
                <w:rFonts w:ascii="微软雅黑" w:hAnsi="微软雅黑" w:eastAsia="微软雅黑" w:cs="微软雅黑"/>
                <w:b/>
                <w:color w:val="000000"/>
                <w:sz w:val="15"/>
                <w:szCs w:val="15"/>
              </w:rPr>
            </w:pPr>
            <w:r>
              <w:rPr>
                <w:rFonts w:hint="eastAsia" w:ascii="微软雅黑" w:hAnsi="微软雅黑" w:eastAsia="微软雅黑" w:cs="微软雅黑"/>
                <w:b/>
                <w:color w:val="000000"/>
                <w:sz w:val="15"/>
                <w:szCs w:val="15"/>
              </w:rPr>
              <w:t>结果</w:t>
            </w:r>
          </w:p>
        </w:tc>
        <w:tc>
          <w:tcPr>
            <w:tcW w:w="5325" w:type="dxa"/>
            <w:vAlign w:val="center"/>
          </w:tcPr>
          <w:p>
            <w:pPr>
              <w:jc w:val="center"/>
              <w:rPr>
                <w:rFonts w:ascii="微软雅黑" w:hAnsi="微软雅黑" w:eastAsia="微软雅黑" w:cs="微软雅黑"/>
                <w:b/>
                <w:color w:val="000000"/>
                <w:sz w:val="15"/>
                <w:szCs w:val="15"/>
              </w:rPr>
            </w:pPr>
            <w:r>
              <w:rPr>
                <w:rFonts w:hint="eastAsia" w:ascii="微软雅黑" w:hAnsi="微软雅黑" w:eastAsia="微软雅黑" w:cs="微软雅黑"/>
                <w:b/>
                <w:color w:val="000000"/>
                <w:sz w:val="15"/>
                <w:szCs w:val="15"/>
              </w:rPr>
              <w:t>毒副作用风险用药提示(仅供参考)</w:t>
            </w:r>
          </w:p>
        </w:tc>
        <w:tc>
          <w:tcPr>
            <w:tcW w:w="585" w:type="dxa"/>
            <w:vAlign w:val="center"/>
          </w:tcPr>
          <w:p>
            <w:pPr>
              <w:jc w:val="center"/>
              <w:rPr>
                <w:rFonts w:ascii="微软雅黑" w:hAnsi="微软雅黑" w:eastAsia="微软雅黑" w:cs="微软雅黑"/>
                <w:b/>
                <w:color w:val="000000"/>
                <w:sz w:val="15"/>
                <w:szCs w:val="15"/>
              </w:rPr>
            </w:pPr>
            <w:r>
              <w:rPr>
                <w:rFonts w:hint="eastAsia" w:ascii="微软雅黑" w:hAnsi="微软雅黑" w:eastAsia="微软雅黑" w:cs="微软雅黑"/>
                <w:b/>
                <w:color w:val="000000"/>
                <w:sz w:val="15"/>
                <w:szCs w:val="15"/>
              </w:rPr>
              <w:t>等级</w:t>
            </w:r>
          </w:p>
        </w:tc>
        <w:tc>
          <w:tcPr>
            <w:tcW w:w="992" w:type="dxa"/>
            <w:vAlign w:val="center"/>
          </w:tcPr>
          <w:p>
            <w:pPr>
              <w:jc w:val="center"/>
              <w:rPr>
                <w:rFonts w:ascii="微软雅黑" w:hAnsi="微软雅黑" w:eastAsia="微软雅黑" w:cs="微软雅黑"/>
                <w:b/>
                <w:color w:val="000000"/>
                <w:sz w:val="15"/>
                <w:szCs w:val="15"/>
              </w:rPr>
            </w:pPr>
            <w:r>
              <w:rPr>
                <w:rFonts w:hint="eastAsia" w:ascii="微软雅黑" w:hAnsi="微软雅黑" w:eastAsia="微软雅黑" w:cs="微软雅黑"/>
                <w:b/>
                <w:color w:val="000000"/>
                <w:sz w:val="15"/>
                <w:szCs w:val="15"/>
              </w:rPr>
              <w:t>PMID号</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restart"/>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顺铂</w:t>
            </w:r>
          </w:p>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XPC rs2228001</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TT：与GG或者GT基因型患者相比，用顺铂治疗TT基因型患者相比，可能会减少、但并不是不存在毒性风险，包括听觉的丢失和嗜中性白血球减少症。其它遗传和临床因素也可能影响患者的毒性风险。</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1B</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21047201</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MTHFR rs1801133</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GG：与AA基因型患者相比，用顺铂治疗癌症GG基因型患者可能会有：1）降低对化疗的反应；2）减少药物毒性。其它遗传和临床因素也可能影响患者对顺铂的治疗反应。</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3</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21605004</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SLC31A1 rs10981694</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TT：与GG、GT基因型患者相比，TT基因型非小细胞肺癌患者接受顺铂治疗有可能有降低的药毒性风险。其它遗传和临床因素也可能影响顺铂药物反应。</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3</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22516052</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GSTP1 rs1138272</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CC：与CT或TT基因型患者相比，CC基因型癌种患者接受顺铂治疗有可能有较延长的生存时间。然而，存在其他证据与其矛盾。其它遗传和临床因素也可能影响生存时间。</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3</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25592234</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LRP2 rs2075252</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CT：与CC基因型患者相比，用顺铂治疗CT基因型癌症患者可能增加失聪的风险。其它遗传和临床因素也可能影响患者副作用的几率。</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3</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23274376</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TPMT rs1142345</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TT：与TC和CC基因型患者相比，用顺铂治疗TT基因型儿童癌症患者可能降低但不会消除失聪的风险。但多个研究并未发现SNP与顺铂诱导的耳毒性风险有关。其它遗传和临床因素也可能影响顺铂治疗的失聪风险。</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3</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25141953</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TPMT rs1800460</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CC：与TT或者CT基因型患者相比，用顺铂治疗CC基因型儿童癌症患者可能降低但不会消除失聪的风险。但多个研究并未发现SNP与顺铂诱导的耳毒性风险有关。其它遗传和临床因素也可能影响顺铂治疗的失聪风险。</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3</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25141953</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TPMT rs12201199</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AA：与TT基因型患者相比，用顺铂治疗AA基因型儿童癌症患者可能具有低程度、但不会消除失聪的风险。但多个研究并未发现SNP与顺铂诱导的耳毒性风险有关。其它遗传和临床因素也可能影响顺铂治疗的失聪风险。</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3</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25141953</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OTOS rs2291767</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CT：与TT基因型患者相比，用顺铂治疗CT基因型癌症患者可能降低耳毒性风险，其它遗传和临床因素也可能影响耳毒性风险。</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3</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25410892</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SLC22A2 rs316019</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CC：与AC或AA基因型患者相比，用顺铂治疗CC基因型癌症患者可能增加肾毒性的风险。其它遗传和临床因素也可能影响患者毒性的风险。</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3</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21902499</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卡铂</w:t>
            </w: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MTHFR rs1801133</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GG：与AA基因型患者相比，用卡铂治疗GG基因型非小细胞肺癌患者可能会有：1）降低响应，2）缩短无进展生存期。其它遗传和临床因素也可能影响患者对卡铂的反应。</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2A</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21605004</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restart"/>
            <w:vAlign w:val="center"/>
          </w:tcPr>
          <w:p>
            <w:pPr>
              <w:jc w:val="center"/>
              <w:rPr>
                <w:rFonts w:ascii="微软雅黑" w:hAnsi="微软雅黑" w:eastAsia="微软雅黑" w:cs="微软雅黑"/>
                <w:color w:val="000000"/>
                <w:sz w:val="15"/>
                <w:szCs w:val="15"/>
              </w:rPr>
            </w:pPr>
          </w:p>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铂类</w:t>
            </w:r>
          </w:p>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XRCC1 rs25487</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T：与CC基因型患者相比，用含铂方案治疗CT基因型患者可能会：1）减少生存和响应，2）降低严重中性粒细胞减少的风险。然而，一项研究发现CC基因型患者会降低生存和响应。CT基因型与铂类治疗反应之间的关系存在相互矛盾的结果。其它遗传和临床因素也可能影响患者对含铂方案的反应。</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2B</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24446315</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ERCC1 rs11615</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AA或者AG基因型患者相比，用铂类化疗GG基因型患者可能会：1）减少，但不是不存在肾毒性，2）增加生存，3）较好的响应。然而，一些研究发现跟药物毒性没有关系；一个研究发现与AA或者AG基因型患者相比，会有更差的响应。其它遗传和临床因素也可能影响患者对铂类化疗的反应。</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2B</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27498158</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GSTP1 rs1695</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AA：与GG基因型患者相比，用铂类治疗AA基因型患者会增加进展期风险和减少生存。其它遗传和临床因素也可能影响患者对药物的反应。</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2A</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20530282</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restart"/>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紫杉醇</w:t>
            </w: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ABCB1 rs1045642</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GG：与CG或CC基因型患者相比，GG基因型癌种患者接受紫杉醇治疗有可能对紫杉醇代谢能力增强。其它遗传和临床因素也可能影响紫杉醇代谢。</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3</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27574448</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CYP3A4 rs12721627</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CC：与其它基因型患者相比，CC基因型患者降低对紫杉醇的反应。其它遗传和临床因素也可能影响患者对紫杉醇的反应。                              注：rs2032582是三等位基因的SNP。</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3</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16890579</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ABCB1 rs2032582</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AG：与AA基因型患者相比，用紫杉醇治疗AG基因型乳腺癌患者可能会降低患有神经病的风险。这种关系只发现在CYP3A4和CYP3A5基因不表达者。其它遗传和临床因素也可能影响患有神经病的风险。</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3</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18836089</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lang w:bidi="ar"/>
              </w:rPr>
            </w:pPr>
            <w:r>
              <w:rPr>
                <w:rFonts w:hint="eastAsia" w:ascii="微软雅黑" w:hAnsi="微软雅黑" w:eastAsia="微软雅黑" w:cs="微软雅黑"/>
                <w:color w:val="000000"/>
                <w:sz w:val="15"/>
                <w:szCs w:val="15"/>
                <w:lang w:bidi="ar"/>
              </w:rPr>
              <w:t>SOD2</w:t>
            </w:r>
          </w:p>
          <w:p>
            <w:pPr>
              <w:jc w:val="center"/>
              <w:textAlignment w:val="center"/>
              <w:rPr>
                <w:rFonts w:ascii="微软雅黑" w:hAnsi="微软雅黑" w:eastAsia="微软雅黑" w:cs="微软雅黑"/>
                <w:color w:val="000000"/>
                <w:sz w:val="15"/>
                <w:szCs w:val="15"/>
                <w:lang w:bidi="ar"/>
              </w:rPr>
            </w:pPr>
            <w:r>
              <w:rPr>
                <w:rFonts w:hint="eastAsia" w:ascii="微软雅黑" w:hAnsi="微软雅黑" w:eastAsia="微软雅黑" w:cs="微软雅黑"/>
                <w:color w:val="000000"/>
                <w:sz w:val="15"/>
                <w:szCs w:val="15"/>
                <w:lang w:bidi="ar"/>
              </w:rPr>
              <w:t>rs4880</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CG：与CC基因型相比，用紫杉醇治疗CG基因型可能会减低肿瘤患者的神经毒性风险。其它遗传和临床因素也可能影响患者的毒性风险。</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19509150</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lang w:bidi="ar"/>
              </w:rPr>
            </w:pPr>
            <w:r>
              <w:rPr>
                <w:rFonts w:hint="eastAsia" w:ascii="微软雅黑" w:hAnsi="微软雅黑" w:eastAsia="微软雅黑" w:cs="微软雅黑"/>
                <w:color w:val="000000"/>
                <w:sz w:val="15"/>
                <w:szCs w:val="15"/>
                <w:lang w:bidi="ar"/>
              </w:rPr>
              <w:t>CYP2C8</w:t>
            </w:r>
          </w:p>
          <w:p>
            <w:pPr>
              <w:jc w:val="center"/>
              <w:textAlignment w:val="center"/>
              <w:rPr>
                <w:rFonts w:ascii="微软雅黑" w:hAnsi="微软雅黑" w:eastAsia="微软雅黑" w:cs="微软雅黑"/>
                <w:color w:val="000000"/>
                <w:sz w:val="15"/>
                <w:szCs w:val="15"/>
                <w:lang w:bidi="ar"/>
              </w:rPr>
            </w:pPr>
            <w:r>
              <w:rPr>
                <w:rFonts w:hint="eastAsia" w:ascii="微软雅黑" w:hAnsi="微软雅黑" w:eastAsia="微软雅黑" w:cs="微软雅黑"/>
                <w:color w:val="000000"/>
                <w:sz w:val="15"/>
                <w:szCs w:val="15"/>
                <w:lang w:bidi="ar"/>
              </w:rPr>
              <w:t>rs1113129</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AA：与CC基因型患者相比，用紫杉醇治疗AA基因型乳腺癌患者可能会增加患有神经病的风险。其它遗传和临床因素也可能影响患者的毒性风险。</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20212519</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rPr>
                <w:rFonts w:ascii="微软雅黑" w:hAnsi="微软雅黑" w:eastAsia="微软雅黑" w:cs="微软雅黑"/>
                <w:color w:val="000000"/>
                <w:sz w:val="15"/>
                <w:szCs w:val="15"/>
              </w:rPr>
            </w:pPr>
          </w:p>
        </w:tc>
        <w:tc>
          <w:tcPr>
            <w:tcW w:w="1140"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ERCC1 rs3212986</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GG：与AA基因型患者相比，用紫杉醇治疗GG基因型患者可能会减少患嗜中性白血球减少症和神经中毒综合征风险。其它遗传和临床因素也可能影响紫杉醇的不良反应。</w:t>
            </w:r>
          </w:p>
        </w:tc>
        <w:tc>
          <w:tcPr>
            <w:tcW w:w="585"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3</w:t>
            </w:r>
          </w:p>
        </w:tc>
        <w:tc>
          <w:tcPr>
            <w:tcW w:w="992" w:type="dxa"/>
            <w:vAlign w:val="center"/>
          </w:tcPr>
          <w:p>
            <w:pPr>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25495407</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restart"/>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多西他赛</w:t>
            </w:r>
          </w:p>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lang w:bidi="ar"/>
              </w:rPr>
            </w:pPr>
            <w:r>
              <w:rPr>
                <w:rFonts w:hint="eastAsia" w:ascii="微软雅黑" w:hAnsi="微软雅黑" w:eastAsia="微软雅黑" w:cs="微软雅黑"/>
                <w:color w:val="000000"/>
                <w:sz w:val="15"/>
                <w:szCs w:val="15"/>
                <w:lang w:bidi="ar"/>
              </w:rPr>
              <w:t>SLCO1B3</w:t>
            </w:r>
          </w:p>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rs11045585</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AG：与AA基因型患者相比，用多西他赛治疗AG基因型癌症患者可能1）增加白血球减少症的风险；2）减少多西他赛的清除。其它遗传和临床因素也可能影响患者对多西他赛的反应。</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21995462</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BCL2 rs2849380</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CC：与TT基因型患者相比，用卡铂联合多西他赛或者紫杉醇治疗CC基因型卵巢癌可能会降低神经毒性的风险。其它遗传和临床因素也可能影响多西他赛的神经毒性。</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23963862</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ERCC1 rs11615</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GG：与AA基因型患者相比，用多西他赛治疗GG基因型乳腺癌可能会降低黏膜炎的风险。这种关系只发现在CYP3A4和CYP3A5基因不表达者。其它遗传和临床因素也可能影响黏膜炎的风险。</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25495407</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restart"/>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培美曲赛</w:t>
            </w:r>
          </w:p>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MTHFR rs1801133</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GG：与AA或者AG基因型患者相比，用培美曲赛治疗GG基因型肺癌可能会延长整体生存时间。其它遗传和临床因素也可能影响整体生存时间。</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24732178</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DHFR rs1650697</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AG：与GG基因型患者相比，AG基因型肺癌患者接受培美曲塞治疗有可能有增加的药毒性风险。其它遗传和临床因素也可能影响药毒性。</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24732178</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DHFR rs442767</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GG：与GT、TT基因型患者相比，GG基因型肺癌患者接受培美曲塞治疗有可能增加用药疲劳风险。其它遗传和临床因素也可能影响用药后疲劳。</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23709418</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GGH rs11545078</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GG：与AA基因型患者相比，GG基因型肺癌患者接受培美曲塞治疗有可能有增加的药毒性风险。其它遗传和临床因素也可能影响药毒性。</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24732178</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FOLR3 rs61734430</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CC：与CT、TT基因型患者相比，CC基因型非小细胞肺癌患者接受培美曲塞治疗有可能有较好的药效反应。其它遗传和临床因素也可能影响培美曲塞药效。</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24732178</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SLC19A1 rs1051298</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AG：与GG基因型患者相比，AG基因型非小细胞肺癌患者接受培美曲塞治疗有可能有缩短的总生存时间与无进展时间。与AA基因型相比，有较长的生存时间。其它遗传和临床因素也可能影响生存时间。</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24732178</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restart"/>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吉西他滨</w:t>
            </w:r>
          </w:p>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NT5C2 rs11598702</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TT：与CT和CC基因型患者相比，用吉西他滨治疗TT基因型癌症患者可能减少吉西他滨的清除，其它遗传和临床因素也可能影响吉西他滨的清除。</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2B</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24300978</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CMPK1 rs1044457</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与CT或者TT基因型患者相比，用吉西他滨治疗CC基因型癌症，可能有更长的总生存期和无进展生存期。与TT基因型相比，CC基因型患者也可能会减少吉西他滨的活性代谢物dFdCTP的形成，其它遗传和临床因素也可能影响生存时间。</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22838950</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CDA rs2072671</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与CC基因型患者相比，用吉西他滨治疗AA基因型癌症患者可能会：1)减少CDA的表达，引起对吉西他滨清除率的下降，2）更高的毒性风险，例如中性粒细胞减少和胃肠道毒性。然而，目前的证据是矛盾的。其它遗传和临床因素也可能影响吉西他滨的毒性反应。</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22546611</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SLC28A2 rs1060896</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CC：与AA、AC基因型患者相比，CC基因型癌症患者接受吉西他滨治疗有可能有缩短的总生存时间与降低的肝脏毒性风险。其它遗传和临床因素也可能影响吉西他滨的药毒性。</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18538445</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SLC29A1 rs760370</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AA：与AG和GG基因型相比，AA基因型的癌症患者可能会增加对吉西他滨的反应。然而，这跟一些研究是相悖的。其它遗传和临床因素也可能影响对吉西他滨的反应。</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24361227</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RRM1 rs183484</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AC</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AC：与AA或者CC基因型患者相比，用吉西他滨治疗AC基因型癌症患者可能会缩短无进展生存期。还没发现与总生存期显著的关联。其它遗传和临床因素也可能影响吉西他滨治疗病人的无进展生存期。</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20665488</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lang w:bidi="ar"/>
              </w:rPr>
            </w:pPr>
            <w:r>
              <w:rPr>
                <w:rFonts w:hint="eastAsia" w:ascii="微软雅黑" w:hAnsi="微软雅黑" w:eastAsia="微软雅黑" w:cs="微软雅黑"/>
                <w:color w:val="000000"/>
                <w:sz w:val="15"/>
                <w:szCs w:val="15"/>
                <w:lang w:bidi="ar"/>
              </w:rPr>
              <w:t xml:space="preserve">RRM1 </w:t>
            </w:r>
          </w:p>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rs9937</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与AA基因型患者相比，用吉西他滨治疗AG基因型癌症患者可能1）更不易于发生嗜中性白血球减少症；2）增加无进展生存期。然而有证据发现该突变体与无进展生存期无关。其它遗传和临床因素也可能影响患者毒性的风险和对吉西他滨的反应。</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24361227</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restart"/>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卡培他滨</w:t>
            </w:r>
          </w:p>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CDA rs602950</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AA：与AG或者GG基因型患者相比，用卡培他滨治疗AA基因型癌症患者可能会减少腹泻或者脱水的风险。其它遗传和临床因素也有可能影响腹泻和脱水的风险。</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23736036</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DPYD rs12132152</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GG：与AA基因型患者相比，用卡培他滨治疗GG基因型结直肠癌可能会减少经历药物毒性的风险，特别是手足综合症。其它遗传和临床因素也可能影响药物的毒性。</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24647007</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ADCY2 rs4702484</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CT：与CC基因型患者相比，用卡培他滨治疗CT基因型结直肠癌可能会延长无进展生存期。其它遗传和临床因素也可能影响患者对卡培他滨的反应。</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4</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25815774</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restart"/>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伊立替康</w:t>
            </w: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UGT1A1 rs8175347</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TA6/TA6</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A)6/(TA)6：与(TA)7/(TA)7基因型患者相比，用伊立替康治疗(TA)6/(TA)6基因型癌症患者可能会降低患嗜中性白血球减少症、腹泻、无力的风险。这种基因型和中性粒细胞减少症之间的关联的证据是强于腹泻或乏力，一些研究发现仅在中、高剂量的药物（&gt;125 mg/m2）条件下与中性粒细胞减少、腹泻显著相关。在恶心、口腔黏膜炎、感染、胃肠道反应（腹泻、恶心整体，呕吐，黏膜结合）或肿瘤反应之间无显著的关联。一项研究发现，均与(TA)7/(TA)7基因型患者相比，这种基因型会减少呕吐的风险，而另一个发现与治疗相关的死亡风险降低。其他的遗传和临床因素也可能影响患者的中性粒细胞减少、腹泻、乏力、呕吐或治疗相关的死亡风险。</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2A</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27385990</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UGT1A1 rs4148323</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与GG基因型患者相比，用伊立替康为基础的方案治疗AG基因型癌症患者，可能会增加患有嗜中性白血球减少症的风险。与AA基因型患者相比，可能会减少患有嗜中性白血球减少症的风险。其它遗传和临床因素也可能影响患者对嗜中性白血球减少症的风险。</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2A</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27385990</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SEMA3C rs7779029</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与CC或者CT基因型患者相比，用伊立替康治疗TT基因型癌症患者可能会减少嗜中性白血球减少症的严重性。其它遗传和临床因素也有可能影响伊立替康的毒性。用伊立替康为基础的方案治疗AG基因型癌症患者，可能会增加患有嗜中性白血球减少症的风险。</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22664479</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C8orf34 rs1517114</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GG：与CC或者CG基因型患者相比，用伊立替康治疗GG基因型非小细胞肺癌患者可能会减少严重腹泻的风险性。其它遗传和临床因素也可能影响病人的毒性风险。</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22664479</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restart"/>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氟尿嘧啶</w:t>
            </w: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DPYD rs55886062</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与AC或者CC基因型患者相比，用氟尿嘧啶为基础的化疗方案治疗AA基因型癌症患者，可能会减少，但不是不存在的药物毒性。氟尿嘧啶类药物通常用于联合化疗（氟尿嘧啶、亚叶酸钙如FOLFOX和FOLFIRI方案（奥沙利铂、氟尿嘧啶、亚叶酸钙）和伊立替康）或FEC（氟尿嘧啶、表阿霉素和环磷酰胺）或与其他药物如贝伐单抗、西妥昔单抗，雷替曲塞。药物的组合和交付可能会影响毒性风险。其他临床及遗传因素也可能会影响到氟尿嘧啶类为基础的化疗。</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1A</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25796495</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DPYD rs67376798</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与AT基因型患者相比，用氟尿嘧啶为基础的化疗方案治疗TT基因型癌症患者，可能会有1）增加药物的清除率，2）减少，但不是不存在，风险和降低药物毒性的严重程度。氟尿嘧啶类药物通常用于联合化疗（氟尿嘧啶、亚叶酸钙如FOLFOX和FOLFIRI方案（奥沙利铂、氟尿嘧啶、亚叶酸钙）和伊立替康）或FEC（氟尿嘧啶、表阿霉素和环磷酰胺）或与其他药物如贝伐单抗、西妥昔单抗，雷替曲塞。药物的组合和交付可能会影响毒性风险。其他临床及遗传因素也可能会影响到氟尿嘧啶类为基础的化疗。</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1A</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27995989</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DPYD rs3918290</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与CT或者TT基因型患者相比，用氟尿嘧啶为基础的化疗方案治疗CC基因型癌症患者，可能会1）氟尿嘧啶类药物的清除率增加，2）减少，但不是不存在，风险和降低药物毒性的严重程度。氟尿嘧啶类药物通常用于联合化疗（氟尿嘧啶、亚叶酸钙如FOLFOX和FOLFIRI方案（奥沙利铂、氟尿嘧啶、亚叶酸钙）和伊立替康）或FEC（氟尿嘧啶、表阿霉素和环磷酰胺）或与其他药物如贝伐单抗、西妥昔单抗，雷替曲塞。药物的组合和交付可能会影响毒性风险。其他临床及遗传因素也可能会影响到氟尿嘧啶类为基础的化疗。</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1A</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27864592</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ABCB1 rs1045642</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GG：与AA基因型患者相比，用顺铂和氟尿嘧啶治疗GG基因型食管癌可能有不利的预后（增加淋巴结转移的风险和降低生存率）。其它遗传和临床因素也可能影响病人对顺铂和氟尿嘧啶的反应。</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22527101</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CCND1 rs9344</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GG：与AA基因型相比，AG或GG基因型结直肠癌患者接受氟尿嘧啶治疗有可能延长肿瘤复发时间。其它遗传和临床因素也可能影响氟尿嘧啶药物反应。</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23567490</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LGR5 rs17109924</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TT：与CT或CC 基因型相比，TT基因型结直肠癌患者接受氟尿嘧啶治疗有可能肿瘤复发时间缩短。其它遗传和临床因素也可能影响氟尿嘧啶药物反应。</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25665511</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TYMS rs151264360</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TTAAAG/del</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TTAAAG/del：与TTAAAG/TTAAAG基因型患者相比，用氟尿嘧啶为基础的辅助治疗TTAAAG/del基因型并且在rs45445694的2R/2R基因型的结直肠癌患者，可能会降低治疗效果。其它遗传和临床因素也可能影响病人的治疗效果。</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21919605</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MTHFR rs1801131</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与GG基因型患者相比，用氟尿嘧啶治疗TT基因型癌症患者可能会有1）药物毒性的风险降低，2）增加生存期。然而，多个研究发现这些协会的相互矛盾的或消极的结果。氟尿嘧啶类药物通常用于联合化疗（氟尿嘧啶、亚叶酸钙如FOLFOX和奥沙利铂）。其他临床及遗传因素也可能会影响到氟尿嘧啶类为基础的化疗。</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27864592</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IGFBP3 rs2854744</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GT：与GG基因型患者相比，用氟尿嘧啶治疗GT基因型胃癌患者可能有较好的预后效果，其它遗传和临床因素也可能影响生存结果。</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20860465</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ABCC11 rs7194667</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TT：与GT或者GG基因型患者相比，用氟尿嘧啶治疗TT基因型癌症有可能减少白血球减少的风险，其它遗传和临床因素也有可能影响病人用氟尿嘧啶治疗的不良反应。</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24024896</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XRCC1 rs25487</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T：与CC基因型癌症患者相比，CT基因型患者可能含有化疗药物氟尿嘧啶反应降低，以及增加的风险和发病早期的感觉神经病变。然而，所有的研究评估还包括其他治疗（铂类药物或放射治疗），这可能与这个变种。其他遗传和临床因素也可能影响对治疗的反应。</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25232828</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restart"/>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环磷酰胺</w:t>
            </w:r>
          </w:p>
        </w:tc>
        <w:tc>
          <w:tcPr>
            <w:tcW w:w="1140" w:type="dxa"/>
            <w:vAlign w:val="center"/>
          </w:tcPr>
          <w:p>
            <w:pPr>
              <w:jc w:val="center"/>
              <w:textAlignment w:val="center"/>
              <w:rPr>
                <w:rFonts w:ascii="微软雅黑" w:hAnsi="微软雅黑" w:eastAsia="微软雅黑" w:cs="微软雅黑"/>
                <w:color w:val="000000"/>
                <w:sz w:val="15"/>
                <w:szCs w:val="15"/>
                <w:lang w:bidi="ar"/>
              </w:rPr>
            </w:pPr>
            <w:r>
              <w:rPr>
                <w:rFonts w:hint="eastAsia" w:ascii="微软雅黑" w:hAnsi="微软雅黑" w:eastAsia="微软雅黑" w:cs="微软雅黑"/>
                <w:color w:val="000000"/>
                <w:sz w:val="15"/>
                <w:szCs w:val="15"/>
                <w:lang w:bidi="ar"/>
              </w:rPr>
              <w:t>SOD2</w:t>
            </w:r>
          </w:p>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rs4880</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AG：与AA基因型患者相比，用环磷酰胺治疗AG基因型乳腺癌可能会减少生存；与GG基因型患者相比，可能会增加生存。其它遗传和临床因素也有可能影响一个病人的生存。</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2B</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19509150</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MTHFR rs1801133</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GG：与AA基因型患者相比，用环磷酰胺治疗GG基因型患者可能会降低药物毒性的风险。其它遗传和临床因素也有可能影响患者对环磷酰胺的毒性。</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2A</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20638924</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XRCC1 rs25487</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T：与CC基因型患者相比，用含环磷酰胺的化疗方案治疗CT基因型患者可能会1）生存率降低，2）严重中性粒细胞减少的风险。然而，所有的研究评估，也包括铂类药物可能与此不同的。其他遗传和临床因素也可能影响对治疗的反应。</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22188361</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GSTA1 rs3957357</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GG：与AA或者AG基因型患者相比，用R-CHOP化疗方案治疗GG基因型弥漫大B细胞淋巴瘤患者可能会缩短无事件生存时间。其它遗传和临床因素也有可能影响无事件生存时间。</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19448608</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restart"/>
            <w:vAlign w:val="center"/>
          </w:tcPr>
          <w:p>
            <w:pPr>
              <w:jc w:val="center"/>
              <w:textAlignment w:val="center"/>
              <w:rPr>
                <w:rFonts w:ascii="微软雅黑" w:hAnsi="微软雅黑" w:eastAsia="微软雅黑" w:cs="微软雅黑"/>
                <w:color w:val="000000"/>
                <w:sz w:val="15"/>
                <w:szCs w:val="15"/>
                <w:lang w:bidi="ar"/>
              </w:rPr>
            </w:pPr>
            <w:r>
              <w:rPr>
                <w:rFonts w:hint="eastAsia" w:ascii="微软雅黑" w:hAnsi="微软雅黑" w:eastAsia="微软雅黑" w:cs="微软雅黑"/>
                <w:color w:val="000000"/>
                <w:sz w:val="15"/>
                <w:szCs w:val="15"/>
                <w:lang w:bidi="ar"/>
              </w:rPr>
              <w:t>奥沙利铂</w:t>
            </w:r>
          </w:p>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ABCB1 rs1045642</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GG：与AA基因型相比，GG基因型患者接受奥沙利铂治疗在无复发生存时间上无统计学结果。其它遗传和临床因素也可能影响奥沙利铂的疗效。</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23746184</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lang w:bidi="ar"/>
              </w:rPr>
            </w:pPr>
            <w:r>
              <w:rPr>
                <w:rFonts w:hint="eastAsia" w:ascii="微软雅黑" w:hAnsi="微软雅黑" w:eastAsia="微软雅黑" w:cs="微软雅黑"/>
                <w:color w:val="000000"/>
                <w:sz w:val="15"/>
                <w:szCs w:val="15"/>
                <w:lang w:bidi="ar"/>
              </w:rPr>
              <w:t xml:space="preserve">GSTP1 </w:t>
            </w:r>
          </w:p>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rs1695</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AA：与GG或者AG基因型相比，AA基因型患者接受奥沙利铂治疗可能有增加的副作用。其它遗传和临床因素也可能影响奥沙利铂的疗效。</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27995989</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他莫西芬</w:t>
            </w: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CYP2D6 rs3892097</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CC：与TT基因型相比，CC基因型患者接受他莫昔芬治疗可能有降低的复发风险。其他遗传和临床因素也可能影响复发。</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2A</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20849243</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来曲唑</w:t>
            </w: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CYP19A1 rs4646</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CC：与AA或者AC基因型患者相比，CC基因型患者接受来曲唑治疗可能有降低的疗效。其它遗传和临床因素也可能影疗效。</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18245543</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米托蒽醌</w:t>
            </w: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GALNT14 rs9679162</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GT：与TT基因型患者相比，用顺铂、氟尿嘧啶和米托蒽醌治疗GT基因型癌症患者可能降低应答，包括降低生存期。其它遗传和临床因素也可能影响患者对治疗的应答。</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21635146</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多柔比星</w:t>
            </w: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ABCB1 rs2032582</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CC：与AA基因型相比，CC基因型患者对多柔比星代谢能力增强。其他遗传和临床因素也可能影响对多柔比星的代谢能力。</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18377430</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卡铂/紫杉醇</w:t>
            </w: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DSCAM rs9981861</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TT：与CC或者CT基因型患者相比，用卡铂和紫杉醇治疗TT基因型非小细胞肺癌患者可能降低生存结果，其它遗传和临床因素也可能影响生存结果。</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21079520</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restart"/>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环磷酰胺/多柔比星/氟尿嘧啶</w:t>
            </w: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NOS3 rs1799983</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TT基因型患者相比，治疗GG基因型患者1）用以环磷酰胺为基础的方案，可能会有更长的无病生存期；2）当不用环磷酰胺为基础的治疗可能会有更短的无病生存期。其它遗传和临床因素也可能影响无病生存期。</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19671875</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Merge w:val="continue"/>
            <w:vAlign w:val="center"/>
          </w:tcPr>
          <w:p>
            <w:pPr>
              <w:jc w:val="center"/>
              <w:textAlignment w:val="center"/>
              <w:rPr>
                <w:rFonts w:ascii="微软雅黑" w:hAnsi="微软雅黑" w:eastAsia="微软雅黑" w:cs="微软雅黑"/>
                <w:color w:val="000000"/>
                <w:sz w:val="15"/>
                <w:szCs w:val="15"/>
              </w:rPr>
            </w:pP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NOS3 rs2070744</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TT：与CC基因型患者相比，未用环磷酰胺为基础治疗TT基因型乳腺癌者可能有更短的无疾病进展期。其它遗传和临床因素也可能影响无疾病进展期。</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20860465</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吉西他滨/紫杉醇</w:t>
            </w: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SLC29A1 rs747199</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GG：与CG或者CC基因型患者相比，GG基因型的乳腺癌患者可能降低对吉西他滨和紫杉醇的反应。其它遗传和临床因素也可能影响对吉西他滨和紫杉醇的反应。</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24361227</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环磷酰胺/表柔比星/氟尿嘧啶</w:t>
            </w: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CYP1B1 rs1056836</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GG：与CC基因型患者相比，用环磷酰胺、表柔比星、氟尿嘧啶治疗GG基因型乳腺癌可能会有更好的响应。其它遗传和临床因素也可能影响环磷酰胺、表柔比星和氟尿嘧啶的治疗效果。（注：与C/ G变型中，特别是在一个基因上的减去染色体链，和频率接近50%，有可能是一个困难的解释关联的证据。）</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24958282</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奥沙利铂/氟尿嘧啶</w:t>
            </w:r>
          </w:p>
        </w:tc>
        <w:tc>
          <w:tcPr>
            <w:tcW w:w="1140" w:type="dxa"/>
            <w:vAlign w:val="center"/>
          </w:tcPr>
          <w:p>
            <w:pPr>
              <w:jc w:val="center"/>
              <w:textAlignment w:val="center"/>
              <w:rPr>
                <w:rFonts w:ascii="微软雅黑" w:hAnsi="微软雅黑" w:eastAsia="微软雅黑" w:cs="微软雅黑"/>
                <w:color w:val="000000"/>
                <w:sz w:val="15"/>
                <w:szCs w:val="15"/>
                <w:lang w:bidi="ar"/>
              </w:rPr>
            </w:pPr>
            <w:r>
              <w:rPr>
                <w:rFonts w:hint="eastAsia" w:ascii="微软雅黑" w:hAnsi="微软雅黑" w:eastAsia="微软雅黑" w:cs="微软雅黑"/>
                <w:color w:val="000000"/>
                <w:sz w:val="15"/>
                <w:szCs w:val="15"/>
                <w:lang w:bidi="ar"/>
              </w:rPr>
              <w:t xml:space="preserve">GSTP1 </w:t>
            </w:r>
          </w:p>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rs1695</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AA：与GG基因型相比，AA基因型患者接受尿氟嘧啶和奥沙利铂治疗可能有更差的效果。其它遗传和临床因素也可能影响氟嘧啶和奥沙利铂治疗。</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2A</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27995989</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340" w:hRule="atLeast"/>
          <w:jc w:val="center"/>
        </w:trPr>
        <w:tc>
          <w:tcPr>
            <w:tcW w:w="1068"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甲酰四氢叶酸/氟尿嘧啶</w:t>
            </w: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ERCC1 rs13181</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GT</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GT：与TT基因型相比，GT基因型患者结直肠肿瘤接受氟尿嘧啶、甲酰四氢叶酸和奥沙利铂治疗可能有增加的药物毒性风险与早期复发风险。与GG基因型相比，患者无进展生存期增加。</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20385995</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1114" w:hRule="atLeast"/>
          <w:jc w:val="center"/>
        </w:trPr>
        <w:tc>
          <w:tcPr>
            <w:tcW w:w="1068"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甲酰四氢叶酸/氟尿嘧啶/奥沙利博</w:t>
            </w: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ERCC1 rs11615</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GG：与AA基因型相比，GG基因型患者结直肠癌接啶嘧尿氟、伊立替康和甲酰四氢叶酸治疗可能有降低的中性粒细胞减少症的风险。其它遗传和临床因素也可能影响中性粒细胞减少症。</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23314736</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Ex>
        <w:trPr>
          <w:trHeight w:val="976" w:hRule="atLeast"/>
          <w:jc w:val="center"/>
        </w:trPr>
        <w:tc>
          <w:tcPr>
            <w:tcW w:w="1068"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伊立替康/甲酰四氢叶酸/氟尿嘧啶</w:t>
            </w:r>
          </w:p>
        </w:tc>
        <w:tc>
          <w:tcPr>
            <w:tcW w:w="1140"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ABCC5 rs3749438</w:t>
            </w:r>
          </w:p>
        </w:tc>
        <w:tc>
          <w:tcPr>
            <w:tcW w:w="570"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w:t>
            </w:r>
          </w:p>
        </w:tc>
        <w:tc>
          <w:tcPr>
            <w:tcW w:w="5325" w:type="dxa"/>
          </w:tcPr>
          <w:p>
            <w:pP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AG：与GG基因型相比，AG基因型患者结直肠癌接啶嘧尿氟、伊立替康和甲酰四氢叶酸治疗可能有增加的3~4级腹泻药物风险。其它遗传和临床因素也可能影响3~4级腹泻药反应。</w:t>
            </w:r>
          </w:p>
        </w:tc>
        <w:tc>
          <w:tcPr>
            <w:tcW w:w="585"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3</w:t>
            </w:r>
          </w:p>
        </w:tc>
        <w:tc>
          <w:tcPr>
            <w:tcW w:w="992" w:type="dxa"/>
            <w:vAlign w:val="center"/>
          </w:tcPr>
          <w:p>
            <w:pPr>
              <w:jc w:val="center"/>
              <w:textAlignment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bidi="ar"/>
              </w:rPr>
              <w:t>26352872</w:t>
            </w:r>
          </w:p>
        </w:tc>
      </w:tr>
    </w:tbl>
    <w:p>
      <w:pPr>
        <w:rPr>
          <w:rFonts w:ascii="微软雅黑" w:hAnsi="微软雅黑" w:eastAsia="微软雅黑"/>
          <w:sz w:val="36"/>
          <w:szCs w:val="36"/>
        </w:rPr>
      </w:pPr>
      <w:bookmarkStart w:id="17" w:name="_Toc454989528"/>
      <w:r>
        <w:rPr>
          <w:rFonts w:ascii="微软雅黑" w:hAnsi="微软雅黑" w:eastAsia="微软雅黑"/>
          <w:sz w:val="36"/>
          <w:szCs w:val="36"/>
        </w:rPr>
        <w:br w:type="page"/>
      </w:r>
    </w:p>
    <w:p>
      <w:pPr>
        <w:rPr>
          <w:rFonts w:ascii="微软雅黑" w:hAnsi="微软雅黑" w:eastAsia="微软雅黑"/>
          <w:b/>
          <w:sz w:val="36"/>
          <w:szCs w:val="36"/>
        </w:rPr>
      </w:pPr>
      <w:r>
        <w:rPr>
          <w:rFonts w:hint="eastAsia" w:ascii="微软雅黑" w:hAnsi="微软雅黑" w:eastAsia="微软雅黑"/>
          <w:sz w:val="36"/>
          <w:szCs w:val="36"/>
        </w:rPr>
        <w:t>备注</w:t>
      </w:r>
      <w:bookmarkEnd w:id="17"/>
    </w:p>
    <w:p>
      <w:pPr>
        <w:pStyle w:val="29"/>
        <w:numPr>
          <w:ilvl w:val="0"/>
          <w:numId w:val="2"/>
        </w:numPr>
        <w:spacing w:before="156" w:beforeLines="50" w:after="156" w:afterLines="50"/>
        <w:ind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检测基因均采用HGNC官方命名</w:t>
      </w:r>
    </w:p>
    <w:p>
      <w:pPr>
        <w:pStyle w:val="29"/>
        <w:numPr>
          <w:ilvl w:val="0"/>
          <w:numId w:val="2"/>
        </w:numPr>
        <w:spacing w:before="156" w:beforeLines="50" w:after="156" w:afterLines="50"/>
        <w:ind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rs号：NCBI里对所有提交的snp进行分类考证后会分配一个rs号，也可称作参考snp，并给出snp的具体信息，包括前后序列，位置信息，分布频率</w:t>
      </w:r>
    </w:p>
    <w:p>
      <w:pPr>
        <w:pStyle w:val="29"/>
        <w:numPr>
          <w:ilvl w:val="0"/>
          <w:numId w:val="2"/>
        </w:numPr>
        <w:spacing w:before="156" w:beforeLines="50" w:after="156" w:afterLines="50"/>
        <w:ind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凭据等级划分参照根据美国PharmGKB基因药物组学数据库</w:t>
      </w:r>
    </w:p>
    <w:p>
      <w:pPr>
        <w:pStyle w:val="29"/>
        <w:spacing w:before="156" w:beforeLines="50" w:after="156" w:afterLines="50"/>
        <w:ind w:firstLine="0" w:firstLineChars="0"/>
        <w:rPr>
          <w:rFonts w:ascii="微软雅黑" w:hAnsi="微软雅黑" w:eastAsia="微软雅黑" w:cs="微软雅黑"/>
          <w:kern w:val="0"/>
          <w:sz w:val="18"/>
          <w:szCs w:val="18"/>
        </w:rPr>
      </w:pPr>
    </w:p>
    <w:p>
      <w:pPr>
        <w:pStyle w:val="42"/>
        <w:ind w:left="800" w:leftChars="400"/>
        <w:jc w:val="both"/>
        <w:rPr>
          <w:rFonts w:hAnsi="微软雅黑"/>
          <w:b/>
          <w:color w:val="auto"/>
          <w:sz w:val="18"/>
          <w:szCs w:val="18"/>
        </w:rPr>
      </w:pPr>
      <w:r>
        <w:rPr>
          <w:rFonts w:hint="eastAsia" w:hAnsi="微软雅黑"/>
          <w:b/>
          <w:color w:val="1F497D" w:themeColor="text2"/>
          <w:sz w:val="18"/>
          <w:szCs w:val="18"/>
          <w14:textFill>
            <w14:solidFill>
              <w14:schemeClr w14:val="tx2"/>
            </w14:solidFill>
          </w14:textFill>
        </w:rPr>
        <w:t>Level 1A：</w:t>
      </w:r>
      <w:r>
        <w:rPr>
          <w:rFonts w:hint="eastAsia" w:hAnsi="微软雅黑"/>
          <w:color w:val="auto"/>
          <w:sz w:val="18"/>
          <w:szCs w:val="18"/>
        </w:rPr>
        <w:t>关于基因变异和药物注释已经通过CPIC，或医学学会的药物基因组学指南，或是PGRN和其它主要健康组织提供的指南。</w:t>
      </w:r>
    </w:p>
    <w:p>
      <w:pPr>
        <w:pStyle w:val="42"/>
        <w:spacing w:line="0" w:lineRule="atLeast"/>
        <w:ind w:left="800" w:leftChars="400"/>
        <w:jc w:val="both"/>
        <w:rPr>
          <w:rFonts w:hAnsi="微软雅黑"/>
          <w:color w:val="auto"/>
          <w:sz w:val="18"/>
          <w:szCs w:val="18"/>
        </w:rPr>
      </w:pPr>
      <w:r>
        <w:rPr>
          <w:rFonts w:hint="eastAsia" w:hAnsi="微软雅黑"/>
          <w:color w:val="auto"/>
          <w:sz w:val="18"/>
          <w:szCs w:val="18"/>
        </w:rPr>
        <w:t xml:space="preserve">CIPC: Clinical Pharmacogenetics Implementation Consortium，临床药物基因组学执行组织  </w:t>
      </w:r>
    </w:p>
    <w:p>
      <w:pPr>
        <w:pStyle w:val="42"/>
        <w:spacing w:line="0" w:lineRule="atLeast"/>
        <w:ind w:left="800" w:leftChars="400"/>
        <w:jc w:val="both"/>
        <w:rPr>
          <w:rFonts w:hAnsi="微软雅黑"/>
          <w:color w:val="auto"/>
          <w:sz w:val="18"/>
          <w:szCs w:val="18"/>
        </w:rPr>
      </w:pPr>
      <w:r>
        <w:rPr>
          <w:rFonts w:hint="eastAsia" w:hAnsi="微软雅黑"/>
          <w:color w:val="auto"/>
          <w:sz w:val="18"/>
          <w:szCs w:val="18"/>
        </w:rPr>
        <w:t>PGRN: NIH Pharmacogenomics Research Network，美国国家卫生所药物基因组学研究组织</w:t>
      </w:r>
    </w:p>
    <w:p>
      <w:pPr>
        <w:pStyle w:val="42"/>
        <w:spacing w:line="0" w:lineRule="atLeast"/>
        <w:ind w:left="800" w:leftChars="400"/>
        <w:jc w:val="both"/>
        <w:rPr>
          <w:rFonts w:hAnsi="微软雅黑"/>
          <w:color w:val="auto"/>
          <w:sz w:val="18"/>
          <w:szCs w:val="18"/>
        </w:rPr>
      </w:pPr>
    </w:p>
    <w:p>
      <w:pPr>
        <w:pStyle w:val="42"/>
        <w:ind w:left="800" w:leftChars="400"/>
        <w:jc w:val="both"/>
        <w:rPr>
          <w:rFonts w:hAnsi="微软雅黑"/>
          <w:b/>
          <w:color w:val="auto"/>
          <w:sz w:val="18"/>
          <w:szCs w:val="18"/>
        </w:rPr>
      </w:pPr>
      <w:r>
        <w:rPr>
          <w:rFonts w:hint="eastAsia" w:hAnsi="微软雅黑"/>
          <w:b/>
          <w:color w:val="1F497D" w:themeColor="text2"/>
          <w:sz w:val="18"/>
          <w:szCs w:val="18"/>
          <w14:textFill>
            <w14:solidFill>
              <w14:schemeClr w14:val="tx2"/>
            </w14:solidFill>
          </w14:textFill>
        </w:rPr>
        <w:t>Level 1B：</w:t>
      </w:r>
      <w:r>
        <w:rPr>
          <w:rFonts w:hint="eastAsia" w:hAnsi="微软雅黑"/>
          <w:color w:val="auto"/>
          <w:sz w:val="18"/>
          <w:szCs w:val="18"/>
        </w:rPr>
        <w:t>关于基因变异和药物注释来自于文献总结，绝大多数文献都得到相同结果。类似的结果必须在多于一个研究中显示统计学的显著性，更好的情况是实验效应值较大。</w:t>
      </w:r>
    </w:p>
    <w:p>
      <w:pPr>
        <w:pStyle w:val="42"/>
        <w:spacing w:line="0" w:lineRule="atLeast"/>
        <w:ind w:left="800" w:leftChars="400"/>
        <w:jc w:val="both"/>
        <w:rPr>
          <w:rFonts w:hAnsi="微软雅黑"/>
          <w:color w:val="auto"/>
          <w:sz w:val="18"/>
          <w:szCs w:val="18"/>
        </w:rPr>
      </w:pPr>
    </w:p>
    <w:p>
      <w:pPr>
        <w:pStyle w:val="42"/>
        <w:ind w:left="800" w:leftChars="400"/>
        <w:jc w:val="both"/>
        <w:rPr>
          <w:rFonts w:hAnsi="微软雅黑"/>
          <w:b/>
          <w:color w:val="auto"/>
          <w:sz w:val="18"/>
          <w:szCs w:val="18"/>
        </w:rPr>
      </w:pPr>
      <w:r>
        <w:rPr>
          <w:rFonts w:hint="eastAsia" w:hAnsi="微软雅黑"/>
          <w:b/>
          <w:color w:val="1F497D" w:themeColor="text2"/>
          <w:sz w:val="18"/>
          <w:szCs w:val="18"/>
          <w14:textFill>
            <w14:solidFill>
              <w14:schemeClr w14:val="tx2"/>
            </w14:solidFill>
          </w14:textFill>
        </w:rPr>
        <w:t>Level 2A：</w:t>
      </w:r>
      <w:r>
        <w:rPr>
          <w:rFonts w:hint="eastAsia" w:hAnsi="微软雅黑"/>
          <w:color w:val="auto"/>
          <w:sz w:val="18"/>
          <w:szCs w:val="18"/>
        </w:rPr>
        <w:t>关于基因变异和药物注释必须是在PharmGKB定义的重要的与药物相关的基因列表中。在此级别中的基因都是与已知与药物相关的基因，因此其指引很可能是有功能上的重要性。</w:t>
      </w:r>
    </w:p>
    <w:p>
      <w:pPr>
        <w:pStyle w:val="42"/>
        <w:spacing w:line="0" w:lineRule="atLeast"/>
        <w:ind w:left="800" w:leftChars="400"/>
        <w:jc w:val="both"/>
        <w:rPr>
          <w:rFonts w:hAnsi="微软雅黑"/>
          <w:color w:val="1F497D" w:themeColor="text2"/>
          <w:sz w:val="18"/>
          <w:szCs w:val="18"/>
          <w14:textFill>
            <w14:solidFill>
              <w14:schemeClr w14:val="tx2"/>
            </w14:solidFill>
          </w14:textFill>
        </w:rPr>
      </w:pPr>
    </w:p>
    <w:p>
      <w:pPr>
        <w:pStyle w:val="42"/>
        <w:ind w:left="800" w:leftChars="400"/>
        <w:jc w:val="both"/>
        <w:rPr>
          <w:rFonts w:hAnsi="微软雅黑"/>
          <w:b/>
          <w:color w:val="auto"/>
          <w:sz w:val="18"/>
          <w:szCs w:val="18"/>
        </w:rPr>
      </w:pPr>
      <w:r>
        <w:rPr>
          <w:rFonts w:hint="eastAsia" w:hAnsi="微软雅黑"/>
          <w:b/>
          <w:color w:val="1F497D" w:themeColor="text2"/>
          <w:sz w:val="18"/>
          <w:szCs w:val="18"/>
          <w14:textFill>
            <w14:solidFill>
              <w14:schemeClr w14:val="tx2"/>
            </w14:solidFill>
          </w14:textFill>
        </w:rPr>
        <w:t>Level 2B：</w:t>
      </w:r>
      <w:r>
        <w:rPr>
          <w:rFonts w:hint="eastAsia" w:hAnsi="微软雅黑"/>
          <w:color w:val="auto"/>
          <w:sz w:val="18"/>
          <w:szCs w:val="18"/>
        </w:rPr>
        <w:t>关于基因变异和药物注释的证据为中等。基因指导药物的研究需要更多实验证明，有的实验没有统计学的显著性，或者效应值不大。</w:t>
      </w:r>
    </w:p>
    <w:p>
      <w:pPr>
        <w:pStyle w:val="42"/>
        <w:spacing w:line="0" w:lineRule="atLeast"/>
        <w:ind w:left="800" w:leftChars="400"/>
        <w:jc w:val="both"/>
        <w:rPr>
          <w:rFonts w:hAnsi="微软雅黑"/>
          <w:color w:val="1F497D" w:themeColor="text2"/>
          <w:sz w:val="18"/>
          <w:szCs w:val="18"/>
          <w14:textFill>
            <w14:solidFill>
              <w14:schemeClr w14:val="tx2"/>
            </w14:solidFill>
          </w14:textFill>
        </w:rPr>
      </w:pPr>
    </w:p>
    <w:p>
      <w:pPr>
        <w:pStyle w:val="42"/>
        <w:ind w:left="800" w:leftChars="400"/>
        <w:jc w:val="both"/>
        <w:rPr>
          <w:rFonts w:hAnsi="微软雅黑"/>
          <w:b/>
          <w:color w:val="auto"/>
          <w:sz w:val="18"/>
          <w:szCs w:val="18"/>
        </w:rPr>
      </w:pPr>
      <w:r>
        <w:rPr>
          <w:rFonts w:hint="eastAsia" w:hAnsi="微软雅黑"/>
          <w:b/>
          <w:color w:val="1F497D" w:themeColor="text2"/>
          <w:sz w:val="18"/>
          <w:szCs w:val="18"/>
          <w14:textFill>
            <w14:solidFill>
              <w14:schemeClr w14:val="tx2"/>
            </w14:solidFill>
          </w14:textFill>
        </w:rPr>
        <w:t>Level 3：</w:t>
      </w:r>
      <w:r>
        <w:rPr>
          <w:rFonts w:hint="eastAsia" w:hAnsi="微软雅黑"/>
          <w:color w:val="auto"/>
          <w:sz w:val="18"/>
          <w:szCs w:val="18"/>
        </w:rPr>
        <w:t>关于基因变异和药物注释基于单个有统计学显著性的研究，或几个结果趋势类似但是没有统计显著性的研究。</w:t>
      </w:r>
    </w:p>
    <w:p>
      <w:pPr>
        <w:pStyle w:val="42"/>
        <w:spacing w:line="0" w:lineRule="atLeast"/>
        <w:ind w:left="800" w:leftChars="400"/>
        <w:jc w:val="both"/>
        <w:rPr>
          <w:rFonts w:hAnsi="微软雅黑"/>
          <w:color w:val="auto"/>
          <w:sz w:val="18"/>
          <w:szCs w:val="18"/>
        </w:rPr>
      </w:pPr>
    </w:p>
    <w:p>
      <w:pPr>
        <w:pStyle w:val="42"/>
        <w:ind w:left="800" w:leftChars="400"/>
        <w:jc w:val="both"/>
        <w:rPr>
          <w:rFonts w:hAnsi="微软雅黑"/>
          <w:b/>
          <w:color w:val="auto"/>
          <w:sz w:val="18"/>
          <w:szCs w:val="18"/>
        </w:rPr>
      </w:pPr>
      <w:r>
        <w:rPr>
          <w:rFonts w:hint="eastAsia" w:hAnsi="微软雅黑"/>
          <w:b/>
          <w:color w:val="1F497D" w:themeColor="text2"/>
          <w:sz w:val="18"/>
          <w:szCs w:val="18"/>
          <w14:textFill>
            <w14:solidFill>
              <w14:schemeClr w14:val="tx2"/>
            </w14:solidFill>
          </w14:textFill>
        </w:rPr>
        <w:t>Level 4：</w:t>
      </w:r>
      <w:r>
        <w:rPr>
          <w:rFonts w:hint="eastAsia" w:hAnsi="微软雅黑"/>
          <w:color w:val="auto"/>
          <w:sz w:val="18"/>
          <w:szCs w:val="18"/>
        </w:rPr>
        <w:t>关于基因变异和药物注释只基于案例报告，在体外的非统计显著性或分子/功能。</w:t>
      </w:r>
    </w:p>
    <w:p>
      <w:pPr>
        <w:rPr>
          <w:rFonts w:ascii="微软雅黑" w:hAnsi="微软雅黑" w:eastAsia="微软雅黑" w:cs="微软雅黑"/>
          <w:b/>
          <w:color w:val="1D478C"/>
          <w:sz w:val="18"/>
          <w:szCs w:val="18"/>
        </w:rPr>
      </w:pPr>
    </w:p>
    <w:p>
      <w:pPr>
        <w:rPr>
          <w:rFonts w:ascii="微软雅黑" w:hAnsi="微软雅黑" w:eastAsia="微软雅黑" w:cs="微软雅黑"/>
          <w:b/>
          <w:color w:val="262626" w:themeColor="text1" w:themeTint="D9"/>
          <w:sz w:val="18"/>
          <w:szCs w:val="18"/>
          <w14:textFill>
            <w14:solidFill>
              <w14:schemeClr w14:val="tx1">
                <w14:lumMod w14:val="85000"/>
                <w14:lumOff w14:val="15000"/>
              </w14:schemeClr>
            </w14:solidFill>
          </w14:textFill>
        </w:rPr>
      </w:pPr>
    </w:p>
    <w:p>
      <w:pPr>
        <w:rPr>
          <w:rFonts w:ascii="微软雅黑" w:hAnsi="微软雅黑" w:eastAsia="微软雅黑" w:cs="微软雅黑"/>
          <w:b/>
          <w:color w:val="262626" w:themeColor="text1" w:themeTint="D9"/>
          <w:sz w:val="18"/>
          <w:szCs w:val="18"/>
          <w14:textFill>
            <w14:solidFill>
              <w14:schemeClr w14:val="tx1">
                <w14:lumMod w14:val="85000"/>
                <w14:lumOff w14:val="15000"/>
              </w14:schemeClr>
            </w14:solidFill>
          </w14:textFill>
        </w:rPr>
      </w:pPr>
    </w:p>
    <w:p>
      <w:pPr>
        <w:rPr>
          <w:rFonts w:ascii="微软雅黑" w:hAnsi="微软雅黑" w:eastAsia="微软雅黑" w:cs="微软雅黑"/>
          <w:b/>
          <w:color w:val="262626" w:themeColor="text1" w:themeTint="D9"/>
          <w:sz w:val="18"/>
          <w:szCs w:val="18"/>
          <w14:textFill>
            <w14:solidFill>
              <w14:schemeClr w14:val="tx1">
                <w14:lumMod w14:val="85000"/>
                <w14:lumOff w14:val="15000"/>
              </w14:schemeClr>
            </w14:solidFill>
          </w14:textFill>
        </w:rPr>
      </w:pPr>
    </w:p>
    <w:p>
      <w:pPr>
        <w:rPr>
          <w:rFonts w:ascii="微软雅黑" w:hAnsi="微软雅黑" w:eastAsia="微软雅黑" w:cs="微软雅黑"/>
          <w:b/>
          <w:color w:val="262626" w:themeColor="text1" w:themeTint="D9"/>
          <w:sz w:val="18"/>
          <w:szCs w:val="18"/>
          <w14:textFill>
            <w14:solidFill>
              <w14:schemeClr w14:val="tx1">
                <w14:lumMod w14:val="85000"/>
                <w14:lumOff w14:val="15000"/>
              </w14:schemeClr>
            </w14:solidFill>
          </w14:textFill>
        </w:rPr>
      </w:pPr>
    </w:p>
    <w:p>
      <w:pPr>
        <w:rPr>
          <w:rFonts w:ascii="微软雅黑" w:hAnsi="微软雅黑" w:eastAsia="微软雅黑" w:cs="微软雅黑"/>
          <w:b/>
          <w:color w:val="262626" w:themeColor="text1" w:themeTint="D9"/>
          <w:sz w:val="18"/>
          <w:szCs w:val="18"/>
          <w14:textFill>
            <w14:solidFill>
              <w14:schemeClr w14:val="tx1">
                <w14:lumMod w14:val="85000"/>
                <w14:lumOff w14:val="15000"/>
              </w14:schemeClr>
            </w14:solidFill>
          </w14:textFill>
        </w:rPr>
      </w:pPr>
    </w:p>
    <w:p>
      <w:pPr>
        <w:rPr>
          <w:rFonts w:ascii="微软雅黑" w:hAnsi="微软雅黑" w:eastAsia="微软雅黑" w:cs="微软雅黑"/>
          <w:b/>
          <w:color w:val="262626" w:themeColor="text1" w:themeTint="D9"/>
          <w:sz w:val="18"/>
          <w:szCs w:val="18"/>
          <w14:textFill>
            <w14:solidFill>
              <w14:schemeClr w14:val="tx1">
                <w14:lumMod w14:val="85000"/>
                <w14:lumOff w14:val="15000"/>
              </w14:schemeClr>
            </w14:solidFill>
          </w14:textFill>
        </w:rPr>
      </w:pPr>
    </w:p>
    <w:p>
      <w:pPr>
        <w:rPr>
          <w:rFonts w:ascii="微软雅黑" w:hAnsi="微软雅黑" w:eastAsia="微软雅黑" w:cs="微软雅黑"/>
          <w:b/>
          <w:color w:val="262626" w:themeColor="text1" w:themeTint="D9"/>
          <w:sz w:val="18"/>
          <w:szCs w:val="18"/>
          <w14:textFill>
            <w14:solidFill>
              <w14:schemeClr w14:val="tx1">
                <w14:lumMod w14:val="85000"/>
                <w14:lumOff w14:val="15000"/>
              </w14:schemeClr>
            </w14:solidFill>
          </w14:textFill>
        </w:rPr>
      </w:pPr>
    </w:p>
    <w:p>
      <w:pPr>
        <w:rPr>
          <w:rFonts w:ascii="微软雅黑" w:hAnsi="微软雅黑" w:eastAsia="微软雅黑" w:cs="微软雅黑"/>
          <w:b/>
          <w:color w:val="262626" w:themeColor="text1" w:themeTint="D9"/>
          <w:sz w:val="18"/>
          <w:szCs w:val="18"/>
          <w14:textFill>
            <w14:solidFill>
              <w14:schemeClr w14:val="tx1">
                <w14:lumMod w14:val="85000"/>
                <w14:lumOff w14:val="15000"/>
              </w14:schemeClr>
            </w14:solidFill>
          </w14:textFill>
        </w:rPr>
      </w:pPr>
    </w:p>
    <w:p>
      <w:pPr>
        <w:rPr>
          <w:rFonts w:ascii="微软雅黑" w:hAnsi="微软雅黑" w:eastAsia="微软雅黑" w:cs="微软雅黑"/>
          <w:b/>
          <w:color w:val="262626" w:themeColor="text1" w:themeTint="D9"/>
          <w:sz w:val="18"/>
          <w:szCs w:val="18"/>
          <w14:textFill>
            <w14:solidFill>
              <w14:schemeClr w14:val="tx1">
                <w14:lumMod w14:val="85000"/>
                <w14:lumOff w14:val="15000"/>
              </w14:schemeClr>
            </w14:solidFill>
          </w14:textFill>
        </w:rPr>
      </w:pPr>
    </w:p>
    <w:p>
      <w:bookmarkStart w:id="18" w:name="OLE_LINK4"/>
    </w:p>
    <w:p/>
    <w:p/>
    <w:p/>
    <w:p/>
    <w:p/>
    <w:p/>
    <w:p>
      <w:r>
        <w:rPr>
          <w:sz w:val="28"/>
        </w:rPr>
        <mc:AlternateContent>
          <mc:Choice Requires="wps">
            <w:drawing>
              <wp:anchor distT="0" distB="0" distL="114300" distR="114300" simplePos="0" relativeHeight="251660288" behindDoc="0" locked="0" layoutInCell="1" allowOverlap="1">
                <wp:simplePos x="0" y="0"/>
                <wp:positionH relativeFrom="column">
                  <wp:posOffset>352425</wp:posOffset>
                </wp:positionH>
                <wp:positionV relativeFrom="paragraph">
                  <wp:posOffset>-285750</wp:posOffset>
                </wp:positionV>
                <wp:extent cx="5410200" cy="852805"/>
                <wp:effectExtent l="0" t="0" r="0" b="4445"/>
                <wp:wrapNone/>
                <wp:docPr id="17" name="文本框 12"/>
                <wp:cNvGraphicFramePr/>
                <a:graphic xmlns:a="http://schemas.openxmlformats.org/drawingml/2006/main">
                  <a:graphicData uri="http://schemas.microsoft.com/office/word/2010/wordprocessingShape">
                    <wps:wsp>
                      <wps:cNvSpPr txBox="1"/>
                      <wps:spPr>
                        <a:xfrm>
                          <a:off x="0" y="0"/>
                          <a:ext cx="5410200" cy="852805"/>
                        </a:xfrm>
                        <a:prstGeom prst="rect">
                          <a:avLst/>
                        </a:prstGeom>
                        <a:noFill/>
                        <a:ln w="9525">
                          <a:noFill/>
                        </a:ln>
                      </wps:spPr>
                      <wps:txbx>
                        <w:txbxContent>
                          <w:p>
                            <w:pPr>
                              <w:pStyle w:val="2"/>
                              <w:jc w:val="center"/>
                              <w:rPr>
                                <w:rFonts w:ascii="微软雅黑" w:hAnsi="微软雅黑" w:eastAsia="微软雅黑"/>
                                <w:b w:val="0"/>
                                <w:color w:val="FFFFFF" w:themeColor="background1"/>
                                <w14:textFill>
                                  <w14:solidFill>
                                    <w14:schemeClr w14:val="bg1"/>
                                  </w14:solidFill>
                                </w14:textFill>
                              </w:rPr>
                            </w:pPr>
                            <w:bookmarkStart w:id="45" w:name="_Toc487814221"/>
                            <w:r>
                              <w:rPr>
                                <w:rFonts w:hint="eastAsia" w:ascii="微软雅黑" w:hAnsi="微软雅黑" w:eastAsia="微软雅黑"/>
                                <w:b w:val="0"/>
                                <w:color w:val="FFFFFF" w:themeColor="background1"/>
                                <w14:textFill>
                                  <w14:solidFill>
                                    <w14:schemeClr w14:val="bg1"/>
                                  </w14:solidFill>
                                </w14:textFill>
                              </w:rPr>
                              <w:t>胶质瘤</w:t>
                            </w:r>
                            <w:r>
                              <w:rPr>
                                <w:rFonts w:ascii="微软雅黑" w:hAnsi="微软雅黑" w:eastAsia="微软雅黑"/>
                                <w:b w:val="0"/>
                                <w:color w:val="FFFFFF" w:themeColor="background1"/>
                                <w14:textFill>
                                  <w14:solidFill>
                                    <w14:schemeClr w14:val="bg1"/>
                                  </w14:solidFill>
                                </w14:textFill>
                              </w:rPr>
                              <w:t>相关临床试验</w:t>
                            </w:r>
                            <w:bookmarkEnd w:id="45"/>
                          </w:p>
                          <w:p>
                            <w:pPr>
                              <w:jc w:val="center"/>
                              <w:rPr>
                                <w:rFonts w:ascii="微软雅黑" w:hAnsi="微软雅黑" w:eastAsia="微软雅黑" w:cs="微软雅黑"/>
                                <w:color w:val="FF0000"/>
                                <w:sz w:val="48"/>
                                <w:szCs w:val="48"/>
                              </w:rPr>
                            </w:pPr>
                          </w:p>
                        </w:txbxContent>
                      </wps:txbx>
                      <wps:bodyPr wrap="square" upright="1">
                        <a:noAutofit/>
                      </wps:bodyPr>
                    </wps:wsp>
                  </a:graphicData>
                </a:graphic>
              </wp:anchor>
            </w:drawing>
          </mc:Choice>
          <mc:Fallback>
            <w:pict>
              <v:shape id="文本框 12" o:spid="_x0000_s1026" o:spt="202" type="#_x0000_t202" style="position:absolute;left:0pt;margin-left:27.75pt;margin-top:-22.5pt;height:67.15pt;width:426pt;z-index:251660288;mso-width-relative:page;mso-height-relative:page;" filled="f" stroked="f" coordsize="21600,21600" o:gfxdata="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RFFy4dYA&#10;AAAJAQAADwAAAAAAAAABACAAAAAiAAAAZHJzL2Rvd25yZXYueG1sUEsBAhQAFAAAAAgAh07iQMsu&#10;xYevAQAAMwMAAA4AAAAAAAAAAQAgAAAAJQEAAGRycy9lMm9Eb2MueG1sUEsFBgAAAAAGAAYAWQEA&#10;AEYFAAAAAA==&#10;">
                <v:fill on="f" focussize="0,0"/>
                <v:stroke on="f"/>
                <v:imagedata o:title=""/>
                <o:lock v:ext="edit" aspectratio="f"/>
                <v:textbox>
                  <w:txbxContent>
                    <w:p>
                      <w:pPr>
                        <w:pStyle w:val="2"/>
                        <w:jc w:val="center"/>
                        <w:rPr>
                          <w:rFonts w:ascii="微软雅黑" w:hAnsi="微软雅黑" w:eastAsia="微软雅黑"/>
                          <w:b w:val="0"/>
                          <w:color w:val="FFFFFF" w:themeColor="background1"/>
                          <w14:textFill>
                            <w14:solidFill>
                              <w14:schemeClr w14:val="bg1"/>
                            </w14:solidFill>
                          </w14:textFill>
                        </w:rPr>
                      </w:pPr>
                      <w:bookmarkStart w:id="45" w:name="_Toc487814221"/>
                      <w:r>
                        <w:rPr>
                          <w:rFonts w:hint="eastAsia" w:ascii="微软雅黑" w:hAnsi="微软雅黑" w:eastAsia="微软雅黑"/>
                          <w:b w:val="0"/>
                          <w:color w:val="FFFFFF" w:themeColor="background1"/>
                          <w14:textFill>
                            <w14:solidFill>
                              <w14:schemeClr w14:val="bg1"/>
                            </w14:solidFill>
                          </w14:textFill>
                        </w:rPr>
                        <w:t>胶质瘤</w:t>
                      </w:r>
                      <w:r>
                        <w:rPr>
                          <w:rFonts w:ascii="微软雅黑" w:hAnsi="微软雅黑" w:eastAsia="微软雅黑"/>
                          <w:b w:val="0"/>
                          <w:color w:val="FFFFFF" w:themeColor="background1"/>
                          <w14:textFill>
                            <w14:solidFill>
                              <w14:schemeClr w14:val="bg1"/>
                            </w14:solidFill>
                          </w14:textFill>
                        </w:rPr>
                        <w:t>相关临床试验</w:t>
                      </w:r>
                      <w:bookmarkEnd w:id="45"/>
                    </w:p>
                    <w:p>
                      <w:pPr>
                        <w:jc w:val="center"/>
                        <w:rPr>
                          <w:rFonts w:ascii="微软雅黑" w:hAnsi="微软雅黑" w:eastAsia="微软雅黑" w:cs="微软雅黑"/>
                          <w:color w:val="FF0000"/>
                          <w:sz w:val="48"/>
                          <w:szCs w:val="48"/>
                        </w:rPr>
                      </w:pPr>
                    </w:p>
                  </w:txbxContent>
                </v:textbox>
              </v:shape>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margin">
                  <wp:posOffset>-78105</wp:posOffset>
                </wp:positionH>
                <wp:positionV relativeFrom="paragraph">
                  <wp:posOffset>94615</wp:posOffset>
                </wp:positionV>
                <wp:extent cx="6247130" cy="419100"/>
                <wp:effectExtent l="0" t="0" r="1270" b="0"/>
                <wp:wrapNone/>
                <wp:docPr id="16" name="自选图形 13"/>
                <wp:cNvGraphicFramePr/>
                <a:graphic xmlns:a="http://schemas.openxmlformats.org/drawingml/2006/main">
                  <a:graphicData uri="http://schemas.microsoft.com/office/word/2010/wordprocessingShape">
                    <wps:wsp>
                      <wps:cNvSpPr/>
                      <wps:spPr>
                        <a:xfrm>
                          <a:off x="0" y="0"/>
                          <a:ext cx="6247130" cy="419100"/>
                        </a:xfrm>
                        <a:prstGeom prst="flowChartAlternateProcess">
                          <a:avLst/>
                        </a:prstGeom>
                        <a:solidFill>
                          <a:srgbClr val="558ED5"/>
                        </a:solidFill>
                        <a:ln w="9525">
                          <a:noFill/>
                        </a:ln>
                      </wps:spPr>
                      <wps:bodyPr upright="1"/>
                    </wps:wsp>
                  </a:graphicData>
                </a:graphic>
              </wp:anchor>
            </w:drawing>
          </mc:Choice>
          <mc:Fallback>
            <w:pict>
              <v:shape id="自选图形 13" o:spid="_x0000_s1026" o:spt="176" type="#_x0000_t176" style="position:absolute;left:0pt;margin-left:-6.15pt;margin-top:7.45pt;height:33pt;width:491.9pt;mso-position-horizontal-relative:margin;z-index:251658240;mso-width-relative:page;mso-height-relative:page;" fillcolor="#558ED5" filled="t" stroked="f" coordsize="21600,21600" o:gfxdata="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bynFj9UAAAAJAQAADwAAAAAAAAABACAAAAAiAAAAZHJzL2Rvd25yZXYueG1sUEsBAhQA&#10;FAAAAAgAh07iQLKlTua8AQAANwMAAA4AAAAAAAAAAQAgAAAAJAEAAGRycy9lMm9Eb2MueG1sUEsF&#10;BgAAAAAGAAYAWQEAAFIFAAAAAA==&#10;">
                <v:fill on="t" focussize="0,0"/>
                <v:stroke on="f"/>
                <v:imagedata o:title=""/>
                <o:lock v:ext="edit" aspectratio="f"/>
              </v:shape>
            </w:pict>
          </mc:Fallback>
        </mc:AlternateContent>
      </w:r>
    </w:p>
    <w:bookmarkEnd w:id="18"/>
    <w:p>
      <w:pPr>
        <w:rPr>
          <w:rFonts w:ascii="微软雅黑" w:hAnsi="微软雅黑" w:eastAsia="微软雅黑" w:cs="Times New Roman"/>
        </w:rPr>
      </w:pPr>
    </w:p>
    <w:tbl>
      <w:tblPr>
        <w:tblStyle w:val="22"/>
        <w:tblpPr w:leftFromText="180" w:rightFromText="180" w:vertAnchor="text" w:horzAnchor="margin" w:tblpXSpec="center" w:tblpY="98"/>
        <w:tblW w:w="9842" w:type="dxa"/>
        <w:tblInd w:w="0" w:type="dxa"/>
        <w:tblBorders>
          <w:top w:val="none" w:color="auto" w:sz="0" w:space="0"/>
          <w:left w:val="none" w:color="auto" w:sz="0" w:space="0"/>
          <w:bottom w:val="single" w:color="F1F1F1" w:themeColor="background1" w:themeShade="F2"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21"/>
        <w:gridCol w:w="6921"/>
      </w:tblGrid>
      <w:tr>
        <w:tblPrEx>
          <w:tblBorders>
            <w:top w:val="none" w:color="auto" w:sz="0" w:space="0"/>
            <w:left w:val="none" w:color="auto" w:sz="0" w:space="0"/>
            <w:bottom w:val="single" w:color="F1F1F1" w:themeColor="background1" w:themeShade="F2"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11" w:hRule="atLeast"/>
        </w:trPr>
        <w:tc>
          <w:tcPr>
            <w:tcW w:w="2921" w:type="dxa"/>
            <w:shd w:val="clear" w:color="auto" w:fill="F1F1F1" w:themeFill="background1" w:themeFillShade="F2"/>
            <w:vAlign w:val="center"/>
          </w:tcPr>
          <w:p>
            <w:pPr>
              <w:rPr>
                <w:rFonts w:ascii="微软雅黑" w:hAnsi="微软雅黑" w:eastAsia="微软雅黑" w:cs="微软雅黑"/>
                <w:color w:val="000000" w:themeColor="text1"/>
                <w:sz w:val="15"/>
                <w:szCs w:val="15"/>
                <w14:textFill>
                  <w14:solidFill>
                    <w14:schemeClr w14:val="tx1"/>
                  </w14:solidFill>
                </w14:textFill>
              </w:rPr>
            </w:pPr>
            <w:bookmarkStart w:id="19" w:name="OLE_LINK9"/>
            <w:bookmarkStart w:id="20" w:name="OLE_LINK5"/>
            <w:r>
              <w:rPr>
                <w:rFonts w:hint="eastAsia" w:ascii="微软雅黑" w:hAnsi="微软雅黑" w:eastAsia="微软雅黑" w:cs="微软雅黑"/>
                <w:color w:val="000000" w:themeColor="text1"/>
                <w:sz w:val="15"/>
                <w:szCs w:val="15"/>
                <w14:textFill>
                  <w14:solidFill>
                    <w14:schemeClr w14:val="tx1"/>
                  </w14:solidFill>
                </w14:textFill>
              </w:rPr>
              <w:t>试验药物：</w:t>
            </w:r>
            <w:r>
              <w:rPr>
                <w:rFonts w:ascii="微软雅黑" w:hAnsi="微软雅黑" w:eastAsia="微软雅黑" w:cs="微软雅黑"/>
                <w:color w:val="000000" w:themeColor="text1"/>
                <w:sz w:val="15"/>
                <w:szCs w:val="15"/>
                <w14:textFill>
                  <w14:solidFill>
                    <w14:schemeClr w14:val="tx1"/>
                  </w14:solidFill>
                </w14:textFill>
              </w:rPr>
              <w:t>BKM120</w:t>
            </w:r>
          </w:p>
          <w:p>
            <w:pPr>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试验编号：</w:t>
            </w:r>
            <w:r>
              <w:rPr>
                <w:rFonts w:ascii="微软雅黑" w:hAnsi="微软雅黑" w:eastAsia="微软雅黑" w:cs="微软雅黑"/>
                <w:color w:val="000000" w:themeColor="text1"/>
                <w:sz w:val="15"/>
                <w:szCs w:val="15"/>
                <w14:textFill>
                  <w14:solidFill>
                    <w14:schemeClr w14:val="tx1"/>
                  </w14:solidFill>
                </w14:textFill>
              </w:rPr>
              <w:t>NCT01339052</w:t>
            </w:r>
          </w:p>
          <w:p>
            <w:pPr>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阶段：II</w:t>
            </w:r>
          </w:p>
        </w:tc>
        <w:tc>
          <w:tcPr>
            <w:tcW w:w="6921" w:type="dxa"/>
            <w:vAlign w:val="center"/>
          </w:tcPr>
          <w:p>
            <w:pPr>
              <w:jc w:val="both"/>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试验名称：</w:t>
            </w:r>
          </w:p>
          <w:p>
            <w:pPr>
              <w:jc w:val="both"/>
              <w:rPr>
                <w:color w:val="000000" w:themeColor="text1"/>
                <w:sz w:val="15"/>
                <w:szCs w:val="15"/>
                <w14:textFill>
                  <w14:solidFill>
                    <w14:schemeClr w14:val="tx1"/>
                  </w14:solidFill>
                </w14:textFill>
              </w:rPr>
            </w:pPr>
            <w:r>
              <w:rPr>
                <w:rFonts w:ascii="微软雅黑" w:hAnsi="微软雅黑" w:eastAsia="微软雅黑" w:cs="微软雅黑"/>
                <w:color w:val="000000" w:themeColor="text1"/>
                <w:sz w:val="15"/>
                <w:szCs w:val="15"/>
                <w14:textFill>
                  <w14:solidFill>
                    <w14:schemeClr w14:val="tx1"/>
                  </w14:solidFill>
                </w14:textFill>
              </w:rPr>
              <w:t>Phase II Study of BKM120 for Subjects With Recurrent Glioblastoma</w:t>
            </w:r>
          </w:p>
        </w:tc>
      </w:tr>
    </w:tbl>
    <w:p>
      <w:pPr>
        <w:rPr>
          <w:color w:val="000000" w:themeColor="text1"/>
          <w:sz w:val="15"/>
          <w:szCs w:val="15"/>
          <w14:textFill>
            <w14:solidFill>
              <w14:schemeClr w14:val="tx1"/>
            </w14:solidFill>
          </w14:textFill>
        </w:rPr>
      </w:pPr>
    </w:p>
    <w:tbl>
      <w:tblPr>
        <w:tblStyle w:val="22"/>
        <w:tblpPr w:leftFromText="180" w:rightFromText="180" w:vertAnchor="text" w:horzAnchor="margin" w:tblpXSpec="center" w:tblpY="98"/>
        <w:tblW w:w="9842" w:type="dxa"/>
        <w:tblInd w:w="0" w:type="dxa"/>
        <w:tblBorders>
          <w:top w:val="none" w:color="auto" w:sz="0" w:space="0"/>
          <w:left w:val="none" w:color="auto" w:sz="0" w:space="0"/>
          <w:bottom w:val="single" w:color="F1F1F1" w:themeColor="background1" w:themeShade="F2"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21"/>
        <w:gridCol w:w="6921"/>
      </w:tblGrid>
      <w:tr>
        <w:tblPrEx>
          <w:tblBorders>
            <w:top w:val="none" w:color="auto" w:sz="0" w:space="0"/>
            <w:left w:val="none" w:color="auto" w:sz="0" w:space="0"/>
            <w:bottom w:val="single" w:color="F1F1F1" w:themeColor="background1" w:themeShade="F2"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11" w:hRule="atLeast"/>
        </w:trPr>
        <w:tc>
          <w:tcPr>
            <w:tcW w:w="2921" w:type="dxa"/>
            <w:shd w:val="clear" w:color="auto" w:fill="F1F1F1" w:themeFill="background1" w:themeFillShade="F2"/>
            <w:vAlign w:val="center"/>
          </w:tcPr>
          <w:p>
            <w:pPr>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试验药物：</w:t>
            </w:r>
            <w:r>
              <w:rPr>
                <w:rFonts w:ascii="微软雅黑" w:hAnsi="微软雅黑" w:eastAsia="微软雅黑" w:cs="微软雅黑"/>
                <w:color w:val="000000" w:themeColor="text1"/>
                <w:sz w:val="15"/>
                <w:szCs w:val="15"/>
                <w14:textFill>
                  <w14:solidFill>
                    <w14:schemeClr w14:val="tx1"/>
                  </w14:solidFill>
                </w14:textFill>
              </w:rPr>
              <w:t>Temozolomide</w:t>
            </w:r>
          </w:p>
          <w:p>
            <w:pPr>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试验编号：</w:t>
            </w:r>
            <w:r>
              <w:rPr>
                <w:rFonts w:ascii="微软雅黑" w:hAnsi="微软雅黑" w:eastAsia="微软雅黑" w:cs="微软雅黑"/>
                <w:color w:val="000000" w:themeColor="text1"/>
                <w:sz w:val="15"/>
                <w:szCs w:val="15"/>
                <w14:textFill>
                  <w14:solidFill>
                    <w14:schemeClr w14:val="tx1"/>
                  </w14:solidFill>
                </w14:textFill>
              </w:rPr>
              <w:t>NCT02507232</w:t>
            </w:r>
          </w:p>
          <w:p>
            <w:pPr>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阶段：II</w:t>
            </w:r>
          </w:p>
        </w:tc>
        <w:tc>
          <w:tcPr>
            <w:tcW w:w="6921" w:type="dxa"/>
            <w:vAlign w:val="center"/>
          </w:tcPr>
          <w:p>
            <w:pPr>
              <w:jc w:val="both"/>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试验名称：</w:t>
            </w:r>
          </w:p>
          <w:p>
            <w:pPr>
              <w:jc w:val="both"/>
              <w:rPr>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 xml:space="preserve"> </w:t>
            </w:r>
            <w:r>
              <w:t xml:space="preserve"> </w:t>
            </w:r>
            <w:r>
              <w:rPr>
                <w:rFonts w:ascii="微软雅黑" w:hAnsi="微软雅黑" w:eastAsia="微软雅黑" w:cs="微软雅黑"/>
                <w:color w:val="000000" w:themeColor="text1"/>
                <w:sz w:val="15"/>
                <w:szCs w:val="15"/>
                <w14:textFill>
                  <w14:solidFill>
                    <w14:schemeClr w14:val="tx1"/>
                  </w14:solidFill>
                </w14:textFill>
              </w:rPr>
              <w:t>A Phase II Study of NovoTTF-200A Alone and With Temozolomide in Patients With Low-Grade Gliomas</w:t>
            </w:r>
          </w:p>
        </w:tc>
      </w:tr>
    </w:tbl>
    <w:p>
      <w:pPr>
        <w:rPr>
          <w:color w:val="000000" w:themeColor="text1"/>
          <w:sz w:val="15"/>
          <w:szCs w:val="15"/>
          <w14:textFill>
            <w14:solidFill>
              <w14:schemeClr w14:val="tx1"/>
            </w14:solidFill>
          </w14:textFill>
        </w:rPr>
      </w:pPr>
    </w:p>
    <w:tbl>
      <w:tblPr>
        <w:tblStyle w:val="22"/>
        <w:tblpPr w:leftFromText="180" w:rightFromText="180" w:vertAnchor="text" w:horzAnchor="margin" w:tblpXSpec="center" w:tblpY="98"/>
        <w:tblW w:w="9842" w:type="dxa"/>
        <w:tblInd w:w="0" w:type="dxa"/>
        <w:tblBorders>
          <w:top w:val="none" w:color="auto" w:sz="0" w:space="0"/>
          <w:left w:val="none" w:color="auto" w:sz="0" w:space="0"/>
          <w:bottom w:val="single" w:color="F1F1F1" w:themeColor="background1" w:themeShade="F2"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21"/>
        <w:gridCol w:w="6921"/>
      </w:tblGrid>
      <w:tr>
        <w:tblPrEx>
          <w:tblBorders>
            <w:top w:val="none" w:color="auto" w:sz="0" w:space="0"/>
            <w:left w:val="none" w:color="auto" w:sz="0" w:space="0"/>
            <w:bottom w:val="single" w:color="F1F1F1" w:themeColor="background1" w:themeShade="F2"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11" w:hRule="atLeast"/>
        </w:trPr>
        <w:tc>
          <w:tcPr>
            <w:tcW w:w="2921" w:type="dxa"/>
            <w:shd w:val="clear" w:color="auto" w:fill="F1F1F1" w:themeFill="background1" w:themeFillShade="F2"/>
            <w:vAlign w:val="center"/>
          </w:tcPr>
          <w:p>
            <w:pPr>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试验药物：</w:t>
            </w:r>
            <w:r>
              <w:rPr>
                <w:rFonts w:ascii="微软雅黑" w:hAnsi="微软雅黑" w:eastAsia="微软雅黑" w:cs="微软雅黑"/>
                <w:color w:val="000000" w:themeColor="text1"/>
                <w:sz w:val="15"/>
                <w:szCs w:val="15"/>
                <w14:textFill>
                  <w14:solidFill>
                    <w14:schemeClr w14:val="tx1"/>
                  </w14:solidFill>
                </w14:textFill>
              </w:rPr>
              <w:t>Temozolomide</w:t>
            </w:r>
          </w:p>
          <w:p>
            <w:pPr>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试验编号：</w:t>
            </w:r>
            <w:r>
              <w:rPr>
                <w:rFonts w:ascii="微软雅黑" w:hAnsi="微软雅黑" w:eastAsia="微软雅黑" w:cs="微软雅黑"/>
                <w:color w:val="000000" w:themeColor="text1"/>
                <w:sz w:val="15"/>
                <w:szCs w:val="15"/>
                <w14:textFill>
                  <w14:solidFill>
                    <w14:schemeClr w14:val="tx1"/>
                  </w14:solidFill>
                </w14:textFill>
              </w:rPr>
              <w:t>NCT02263105</w:t>
            </w:r>
          </w:p>
          <w:p>
            <w:pPr>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阶段：II</w:t>
            </w:r>
          </w:p>
        </w:tc>
        <w:tc>
          <w:tcPr>
            <w:tcW w:w="6921" w:type="dxa"/>
            <w:vAlign w:val="center"/>
          </w:tcPr>
          <w:p>
            <w:pPr>
              <w:jc w:val="both"/>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试验名称：</w:t>
            </w:r>
          </w:p>
          <w:p>
            <w:pPr>
              <w:jc w:val="both"/>
              <w:rPr>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 xml:space="preserve"> </w:t>
            </w:r>
            <w:r>
              <w:t xml:space="preserve"> </w:t>
            </w:r>
            <w:r>
              <w:rPr>
                <w:rFonts w:ascii="微软雅黑" w:hAnsi="微软雅黑" w:eastAsia="微软雅黑" w:cs="微软雅黑"/>
                <w:color w:val="000000" w:themeColor="text1"/>
                <w:sz w:val="15"/>
                <w:szCs w:val="15"/>
                <w14:textFill>
                  <w14:solidFill>
                    <w14:schemeClr w14:val="tx1"/>
                  </w14:solidFill>
                </w14:textFill>
              </w:rPr>
              <w:t>Efficacy and Tolerability of Cisplatin Plus Alternating Weekly Temozolomide in Recurrent High-grade Gliomas</w:t>
            </w:r>
          </w:p>
        </w:tc>
      </w:tr>
    </w:tbl>
    <w:p>
      <w:pPr>
        <w:rPr>
          <w:color w:val="000000" w:themeColor="text1"/>
          <w:sz w:val="15"/>
          <w:szCs w:val="15"/>
          <w14:textFill>
            <w14:solidFill>
              <w14:schemeClr w14:val="tx1"/>
            </w14:solidFill>
          </w14:textFill>
        </w:rPr>
      </w:pPr>
    </w:p>
    <w:tbl>
      <w:tblPr>
        <w:tblStyle w:val="22"/>
        <w:tblpPr w:leftFromText="180" w:rightFromText="180" w:vertAnchor="text" w:horzAnchor="margin" w:tblpXSpec="center" w:tblpY="98"/>
        <w:tblW w:w="9842" w:type="dxa"/>
        <w:tblInd w:w="0" w:type="dxa"/>
        <w:tblBorders>
          <w:top w:val="none" w:color="auto" w:sz="0" w:space="0"/>
          <w:left w:val="none" w:color="auto" w:sz="0" w:space="0"/>
          <w:bottom w:val="single" w:color="F1F1F1" w:themeColor="background1" w:themeShade="F2"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21"/>
        <w:gridCol w:w="6921"/>
      </w:tblGrid>
      <w:tr>
        <w:tblPrEx>
          <w:tblBorders>
            <w:top w:val="none" w:color="auto" w:sz="0" w:space="0"/>
            <w:left w:val="none" w:color="auto" w:sz="0" w:space="0"/>
            <w:bottom w:val="single" w:color="F1F1F1" w:themeColor="background1" w:themeShade="F2"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11" w:hRule="atLeast"/>
        </w:trPr>
        <w:tc>
          <w:tcPr>
            <w:tcW w:w="2921" w:type="dxa"/>
            <w:shd w:val="clear" w:color="auto" w:fill="F1F1F1" w:themeFill="background1" w:themeFillShade="F2"/>
            <w:vAlign w:val="center"/>
          </w:tcPr>
          <w:p>
            <w:pPr>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试验药物：</w:t>
            </w:r>
            <w:r>
              <w:rPr>
                <w:rFonts w:ascii="微软雅黑" w:hAnsi="微软雅黑" w:eastAsia="微软雅黑" w:cs="微软雅黑"/>
                <w:color w:val="000000" w:themeColor="text1"/>
                <w:sz w:val="15"/>
                <w:szCs w:val="15"/>
                <w14:textFill>
                  <w14:solidFill>
                    <w14:schemeClr w14:val="tx1"/>
                  </w14:solidFill>
                </w14:textFill>
              </w:rPr>
              <w:t xml:space="preserve">AZD5363 </w:t>
            </w:r>
          </w:p>
          <w:p>
            <w:pPr>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试验编号：</w:t>
            </w:r>
            <w:r>
              <w:rPr>
                <w:rFonts w:ascii="微软雅黑" w:hAnsi="微软雅黑" w:eastAsia="微软雅黑" w:cs="微软雅黑"/>
                <w:color w:val="000000" w:themeColor="text1"/>
                <w:sz w:val="15"/>
                <w:szCs w:val="15"/>
                <w14:textFill>
                  <w14:solidFill>
                    <w14:schemeClr w14:val="tx1"/>
                  </w14:solidFill>
                </w14:textFill>
              </w:rPr>
              <w:t>NCT02465060</w:t>
            </w:r>
          </w:p>
          <w:p>
            <w:pPr>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阶段：I</w:t>
            </w:r>
            <w:r>
              <w:rPr>
                <w:rFonts w:ascii="微软雅黑" w:hAnsi="微软雅黑" w:eastAsia="微软雅黑" w:cs="微软雅黑"/>
                <w:color w:val="000000" w:themeColor="text1"/>
                <w:sz w:val="15"/>
                <w:szCs w:val="15"/>
                <w14:textFill>
                  <w14:solidFill>
                    <w14:schemeClr w14:val="tx1"/>
                  </w14:solidFill>
                </w14:textFill>
              </w:rPr>
              <w:t>I</w:t>
            </w:r>
          </w:p>
        </w:tc>
        <w:tc>
          <w:tcPr>
            <w:tcW w:w="6921" w:type="dxa"/>
            <w:vAlign w:val="center"/>
          </w:tcPr>
          <w:p>
            <w:pPr>
              <w:rPr>
                <w:rFonts w:ascii="微软雅黑" w:hAnsi="微软雅黑" w:eastAsia="微软雅黑" w:cs="微软雅黑"/>
                <w:color w:val="000000" w:themeColor="text1"/>
                <w:sz w:val="15"/>
                <w:szCs w:val="15"/>
                <w14:textFill>
                  <w14:solidFill>
                    <w14:schemeClr w14:val="tx1"/>
                  </w14:solidFill>
                </w14:textFill>
              </w:rPr>
            </w:pPr>
            <w:r>
              <w:rPr>
                <w:rFonts w:hint="eastAsia" w:ascii="微软雅黑" w:hAnsi="微软雅黑" w:eastAsia="微软雅黑" w:cs="微软雅黑"/>
                <w:color w:val="000000" w:themeColor="text1"/>
                <w:sz w:val="15"/>
                <w:szCs w:val="15"/>
                <w14:textFill>
                  <w14:solidFill>
                    <w14:schemeClr w14:val="tx1"/>
                  </w14:solidFill>
                </w14:textFill>
              </w:rPr>
              <w:t>试验名称：</w:t>
            </w:r>
          </w:p>
          <w:p>
            <w:pPr>
              <w:ind w:firstLine="300" w:firstLineChars="200"/>
              <w:jc w:val="both"/>
              <w:rPr>
                <w:color w:val="000000" w:themeColor="text1"/>
                <w:sz w:val="15"/>
                <w:szCs w:val="15"/>
                <w14:textFill>
                  <w14:solidFill>
                    <w14:schemeClr w14:val="tx1"/>
                  </w14:solidFill>
                </w14:textFill>
              </w:rPr>
            </w:pPr>
            <w:r>
              <w:rPr>
                <w:rFonts w:ascii="微软雅黑" w:hAnsi="微软雅黑" w:eastAsia="微软雅黑" w:cs="微软雅黑"/>
                <w:color w:val="000000" w:themeColor="text1"/>
                <w:sz w:val="15"/>
                <w:szCs w:val="15"/>
                <w14:textFill>
                  <w14:solidFill>
                    <w14:schemeClr w14:val="tx1"/>
                  </w14:solidFill>
                </w14:textFill>
              </w:rPr>
              <w:t>NCI-MATCH: Targeted Therapy Directed by Genetic Testing in Treating Patients With Advanced Refractory Solid Tumors, Lymphomas, or Multiple Myeloma</w:t>
            </w:r>
          </w:p>
        </w:tc>
      </w:tr>
    </w:tbl>
    <w:p>
      <w:pPr>
        <w:spacing w:line="360" w:lineRule="auto"/>
        <w:rPr>
          <w:rFonts w:ascii="微软雅黑" w:hAnsi="微软雅黑" w:eastAsia="微软雅黑"/>
          <w:bCs/>
          <w:sz w:val="15"/>
          <w:szCs w:val="15"/>
        </w:rPr>
      </w:pPr>
      <w:r>
        <w:rPr>
          <w:rFonts w:hint="eastAsia" w:ascii="微软雅黑" w:hAnsi="微软雅黑" w:eastAsia="微软雅黑"/>
          <w:b/>
          <w:sz w:val="15"/>
          <w:szCs w:val="15"/>
        </w:rPr>
        <w:t>注：</w:t>
      </w:r>
      <w:r>
        <w:rPr>
          <w:rFonts w:hint="eastAsia" w:ascii="微软雅黑" w:hAnsi="微软雅黑" w:eastAsia="微软雅黑"/>
          <w:bCs/>
          <w:sz w:val="15"/>
          <w:szCs w:val="15"/>
        </w:rPr>
        <w:t xml:space="preserve">以上所列的药物是与胶质瘤靶向基因变异相关的临床试验，更多相关临床信息可以根据NCT编号搜索  </w:t>
      </w:r>
      <w:r>
        <w:fldChar w:fldCharType="begin"/>
      </w:r>
      <w:r>
        <w:instrText xml:space="preserve"> HYPERLINK "http://www.clinicaltrials.gov" </w:instrText>
      </w:r>
      <w:r>
        <w:fldChar w:fldCharType="separate"/>
      </w:r>
      <w:r>
        <w:rPr>
          <w:rFonts w:hint="eastAsia"/>
          <w:sz w:val="15"/>
          <w:szCs w:val="15"/>
        </w:rPr>
        <w:t>www.clinicaltrials.gov</w:t>
      </w:r>
      <w:r>
        <w:rPr>
          <w:rFonts w:hint="eastAsia"/>
          <w:sz w:val="15"/>
          <w:szCs w:val="15"/>
        </w:rPr>
        <w:fldChar w:fldCharType="end"/>
      </w:r>
    </w:p>
    <w:p>
      <w:r>
        <w:br w:type="page"/>
      </w:r>
    </w:p>
    <w:bookmarkEnd w:id="19"/>
    <w:p>
      <w:pPr>
        <w:pStyle w:val="2"/>
        <w:spacing w:before="0" w:after="0" w:line="360" w:lineRule="auto"/>
        <w:jc w:val="both"/>
        <w:rPr>
          <w:rFonts w:ascii="微软雅黑" w:hAnsi="微软雅黑" w:eastAsia="微软雅黑"/>
          <w:b w:val="0"/>
          <w:sz w:val="36"/>
          <w:szCs w:val="36"/>
        </w:rPr>
      </w:pPr>
      <w:bookmarkStart w:id="21" w:name="_Toc459026912"/>
      <w:bookmarkStart w:id="22" w:name="_Toc487814222"/>
      <w:bookmarkStart w:id="23" w:name="_Toc459208065"/>
      <w:bookmarkStart w:id="24" w:name="_Toc465000425"/>
      <w:r>
        <w:rPr>
          <w:rFonts w:hint="eastAsia" w:ascii="微软雅黑" w:hAnsi="微软雅黑" w:eastAsia="微软雅黑"/>
          <w:b w:val="0"/>
          <w:sz w:val="36"/>
          <w:szCs w:val="36"/>
        </w:rPr>
        <w:t>附录一：H</w:t>
      </w:r>
      <w:r>
        <w:rPr>
          <w:rFonts w:ascii="微软雅黑" w:hAnsi="微软雅黑" w:eastAsia="微软雅黑"/>
          <w:b w:val="0"/>
          <w:sz w:val="36"/>
          <w:szCs w:val="36"/>
        </w:rPr>
        <w:t>apOnco海普</w:t>
      </w:r>
      <w:r>
        <w:rPr>
          <w:rFonts w:hint="eastAsia" w:ascii="微软雅黑" w:hAnsi="微软雅黑" w:eastAsia="微软雅黑"/>
          <w:b w:val="0"/>
          <w:sz w:val="36"/>
          <w:szCs w:val="36"/>
        </w:rPr>
        <w:t>安可</w:t>
      </w:r>
      <w:r>
        <w:rPr>
          <w:rFonts w:ascii="微软雅黑" w:hAnsi="微软雅黑" w:eastAsia="微软雅黑"/>
          <w:b w:val="0"/>
          <w:sz w:val="36"/>
          <w:szCs w:val="36"/>
        </w:rPr>
        <w:t>—</w:t>
      </w:r>
      <w:r>
        <w:rPr>
          <w:rFonts w:hint="eastAsia" w:ascii="微软雅黑" w:hAnsi="微软雅黑" w:eastAsia="微软雅黑"/>
          <w:b w:val="0"/>
          <w:sz w:val="36"/>
          <w:szCs w:val="36"/>
        </w:rPr>
        <w:t>肿瘤临床用药86基因列表</w:t>
      </w:r>
      <w:bookmarkEnd w:id="21"/>
      <w:bookmarkEnd w:id="22"/>
      <w:bookmarkEnd w:id="23"/>
      <w:bookmarkEnd w:id="24"/>
    </w:p>
    <w:p/>
    <w:tbl>
      <w:tblPr>
        <w:tblStyle w:val="21"/>
        <w:tblW w:w="9639" w:type="dxa"/>
        <w:tblInd w:w="0" w:type="dxa"/>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
      <w:tblGrid>
        <w:gridCol w:w="2409"/>
        <w:gridCol w:w="2409"/>
        <w:gridCol w:w="2409"/>
        <w:gridCol w:w="2412"/>
      </w:tblGrid>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ABCB1</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ABCC11</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ABCC5</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ABL1</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ADCY2</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AKT1</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AKT2</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ALK</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APC</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BCL2</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BRAF</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BRCA1</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BRCA2</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C8orf34</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CCND1</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CDA</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CDK4</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CDK6</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CMPK1</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CYP19A1</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CYP1B1</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CYP2C8</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CYP2D6</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CYP3A4</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DDR2</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DHFR</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DPYD</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DSCAM</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EGFR</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ENOSF1</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ERBB2</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ERCC1</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FGFR1</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FGFR3</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FLT1</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FLT3</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FOLR3</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GALNT14</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GGH</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GSTA1</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GSTP1</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IGFBP3</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KDR</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KIT</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KRAS</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LGR5</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LRP2</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MAP2K1</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MET</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MLH1</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MSH2</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MSH6</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MTHFR</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MTOR</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NOS3</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NRAS</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NT5C2</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NTRK1</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OTOS</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PALB2</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PARP1</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PDGFRA</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PDGFRB</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PIK3CA</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PMS2</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PTEN</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RET</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RICTOR</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ROS1</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RRM1</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SEMA3C</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SLC19A1</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SLC22A2</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SLC28A2</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SLC29A1</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SLC31A1</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SLCO1B3</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SOD2</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TP53</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TPMT</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TSC1</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TYMS</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UGT1A1</w:t>
            </w:r>
          </w:p>
        </w:tc>
        <w:tc>
          <w:tcPr>
            <w:tcW w:w="2412"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VEGFA</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fixed"/>
          <w:tblCellMar>
            <w:top w:w="0" w:type="dxa"/>
            <w:left w:w="108" w:type="dxa"/>
            <w:bottom w:w="0" w:type="dxa"/>
            <w:right w:w="108" w:type="dxa"/>
          </w:tblCellMar>
        </w:tblPrEx>
        <w:trPr>
          <w:trHeight w:val="340" w:hRule="exact"/>
        </w:trPr>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XPC</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r>
              <w:rPr>
                <w:rFonts w:hint="eastAsia" w:ascii="微软雅黑" w:hAnsi="微软雅黑" w:eastAsia="微软雅黑" w:cs="微软雅黑"/>
                <w:i/>
                <w:iCs/>
                <w:color w:val="000000"/>
                <w:sz w:val="18"/>
                <w:szCs w:val="18"/>
              </w:rPr>
              <w:t>XRCC1</w:t>
            </w:r>
          </w:p>
        </w:tc>
        <w:tc>
          <w:tcPr>
            <w:tcW w:w="2409" w:type="dxa"/>
            <w:tcBorders>
              <w:tl2br w:val="nil"/>
              <w:tr2bl w:val="nil"/>
            </w:tcBorders>
            <w:shd w:val="clear" w:color="auto" w:fill="auto"/>
            <w:vAlign w:val="center"/>
          </w:tcPr>
          <w:p>
            <w:pPr>
              <w:jc w:val="center"/>
              <w:rPr>
                <w:rFonts w:ascii="微软雅黑" w:hAnsi="微软雅黑" w:eastAsia="微软雅黑" w:cs="微软雅黑"/>
                <w:i/>
                <w:iCs/>
                <w:color w:val="000000"/>
                <w:sz w:val="18"/>
                <w:szCs w:val="18"/>
              </w:rPr>
            </w:pPr>
          </w:p>
        </w:tc>
        <w:tc>
          <w:tcPr>
            <w:tcW w:w="2412" w:type="dxa"/>
            <w:tcBorders>
              <w:tl2br w:val="nil"/>
              <w:tr2bl w:val="nil"/>
            </w:tcBorders>
            <w:shd w:val="clear" w:color="auto" w:fill="auto"/>
            <w:vAlign w:val="center"/>
          </w:tcPr>
          <w:p>
            <w:pPr>
              <w:jc w:val="center"/>
              <w:rPr>
                <w:rFonts w:ascii="微软雅黑" w:hAnsi="微软雅黑" w:eastAsia="微软雅黑" w:cs="微软雅黑"/>
                <w:i/>
                <w:iCs/>
                <w:sz w:val="18"/>
                <w:szCs w:val="18"/>
              </w:rPr>
            </w:pPr>
          </w:p>
        </w:tc>
      </w:tr>
    </w:tbl>
    <w:p>
      <w:pPr>
        <w:rPr>
          <w:rFonts w:asciiTheme="majorEastAsia" w:hAnsiTheme="majorEastAsia" w:eastAsiaTheme="majorEastAsia"/>
          <w:b/>
          <w:color w:val="1D478C"/>
          <w:sz w:val="28"/>
          <w:szCs w:val="28"/>
        </w:rPr>
      </w:pPr>
    </w:p>
    <w:p>
      <w:r>
        <w:br w:type="page"/>
      </w:r>
    </w:p>
    <w:p>
      <w:pPr>
        <w:keepNext/>
        <w:keepLines/>
        <w:spacing w:line="360" w:lineRule="auto"/>
        <w:outlineLvl w:val="0"/>
        <w:rPr>
          <w:rFonts w:ascii="微软雅黑" w:hAnsi="微软雅黑" w:eastAsia="微软雅黑"/>
          <w:bCs/>
          <w:kern w:val="44"/>
          <w:sz w:val="36"/>
          <w:szCs w:val="36"/>
        </w:rPr>
      </w:pPr>
      <w:bookmarkStart w:id="25" w:name="_Toc487814223"/>
      <w:bookmarkStart w:id="26" w:name="_Toc475090428"/>
      <w:r>
        <w:rPr>
          <w:rFonts w:ascii="微软雅黑" w:hAnsi="微软雅黑" w:eastAsia="微软雅黑"/>
          <w:bCs/>
          <w:kern w:val="44"/>
          <w:sz w:val="36"/>
          <w:szCs w:val="36"/>
        </w:rPr>
        <w:t>附录二：体细胞变异</w:t>
      </w:r>
      <w:r>
        <w:rPr>
          <w:rFonts w:hint="eastAsia" w:ascii="微软雅黑" w:hAnsi="微软雅黑" w:eastAsia="微软雅黑"/>
          <w:bCs/>
          <w:kern w:val="44"/>
          <w:sz w:val="36"/>
          <w:szCs w:val="36"/>
        </w:rPr>
        <w:t>列表</w:t>
      </w:r>
      <w:bookmarkEnd w:id="25"/>
      <w:bookmarkEnd w:id="26"/>
    </w:p>
    <w:p>
      <w:pPr>
        <w:rPr>
          <w:rFonts w:ascii="微软雅黑" w:hAnsi="微软雅黑" w:eastAsia="微软雅黑"/>
          <w:bCs/>
          <w:kern w:val="44"/>
          <w:sz w:val="36"/>
          <w:szCs w:val="36"/>
        </w:rPr>
      </w:pPr>
    </w:p>
    <w:p>
      <w:pPr>
        <w:rPr>
          <w:rFonts w:ascii="微软雅黑" w:hAnsi="微软雅黑" w:eastAsia="微软雅黑"/>
          <w:bCs/>
          <w:kern w:val="44"/>
          <w:sz w:val="36"/>
          <w:szCs w:val="36"/>
        </w:rPr>
      </w:pPr>
      <w:r>
        <w:rPr>
          <w:rFonts w:hint="eastAsia" w:ascii="微软雅黑" w:hAnsi="微软雅黑" w:eastAsia="微软雅黑"/>
          <w:bCs/>
          <w:kern w:val="44"/>
          <w:sz w:val="36"/>
          <w:szCs w:val="36"/>
        </w:rPr>
        <w:t>点突变</w:t>
      </w:r>
    </w:p>
    <w:p>
      <w:pPr>
        <w:rPr>
          <w:rFonts w:ascii="微软雅黑" w:hAnsi="微软雅黑" w:eastAsia="微软雅黑"/>
          <w:bCs/>
          <w:kern w:val="44"/>
          <w:sz w:val="15"/>
          <w:szCs w:val="15"/>
        </w:rPr>
      </w:pPr>
    </w:p>
    <w:tbl>
      <w:tblPr>
        <w:tblStyle w:val="21"/>
        <w:tblpPr w:leftFromText="180" w:rightFromText="180" w:vertAnchor="text" w:horzAnchor="margin" w:tblpXSpec="center" w:tblpY="23"/>
        <w:tblOverlap w:val="never"/>
        <w:tblW w:w="9690" w:type="dxa"/>
        <w:tblInd w:w="0" w:type="dxa"/>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
      <w:tblGrid>
        <w:gridCol w:w="1024"/>
        <w:gridCol w:w="1024"/>
        <w:gridCol w:w="1529"/>
        <w:gridCol w:w="957"/>
        <w:gridCol w:w="1289"/>
        <w:gridCol w:w="1289"/>
        <w:gridCol w:w="1110"/>
        <w:gridCol w:w="1468"/>
      </w:tblGrid>
      <w:tr>
        <w:tblPrEx>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Ex>
        <w:trPr>
          <w:trHeight w:val="222" w:hRule="atLeast"/>
        </w:trPr>
        <w:tc>
          <w:tcPr>
            <w:tcW w:w="1024" w:type="dxa"/>
            <w:shd w:val="clear" w:color="auto" w:fill="auto"/>
            <w:vAlign w:val="center"/>
          </w:tcPr>
          <w:p>
            <w:pPr>
              <w:jc w:val="center"/>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基因</w:t>
            </w:r>
          </w:p>
        </w:tc>
        <w:tc>
          <w:tcPr>
            <w:tcW w:w="1024" w:type="dxa"/>
            <w:shd w:val="clear" w:color="auto" w:fill="auto"/>
            <w:vAlign w:val="center"/>
          </w:tcPr>
          <w:p>
            <w:pPr>
              <w:jc w:val="center"/>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染色体</w:t>
            </w:r>
          </w:p>
        </w:tc>
        <w:tc>
          <w:tcPr>
            <w:tcW w:w="1529" w:type="dxa"/>
            <w:shd w:val="clear" w:color="auto" w:fill="auto"/>
            <w:vAlign w:val="center"/>
          </w:tcPr>
          <w:p>
            <w:pPr>
              <w:jc w:val="center"/>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转录本号</w:t>
            </w:r>
          </w:p>
        </w:tc>
        <w:tc>
          <w:tcPr>
            <w:tcW w:w="957" w:type="dxa"/>
            <w:shd w:val="clear" w:color="auto" w:fill="auto"/>
            <w:vAlign w:val="center"/>
          </w:tcPr>
          <w:p>
            <w:pPr>
              <w:jc w:val="center"/>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外显子</w:t>
            </w:r>
          </w:p>
        </w:tc>
        <w:tc>
          <w:tcPr>
            <w:tcW w:w="1289" w:type="dxa"/>
            <w:vAlign w:val="center"/>
          </w:tcPr>
          <w:p>
            <w:pPr>
              <w:jc w:val="center"/>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碱基变化</w:t>
            </w:r>
          </w:p>
        </w:tc>
        <w:tc>
          <w:tcPr>
            <w:tcW w:w="1289" w:type="dxa"/>
            <w:shd w:val="clear" w:color="auto" w:fill="auto"/>
            <w:vAlign w:val="center"/>
          </w:tcPr>
          <w:p>
            <w:pPr>
              <w:jc w:val="center"/>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蛋白变化</w:t>
            </w:r>
          </w:p>
        </w:tc>
        <w:tc>
          <w:tcPr>
            <w:tcW w:w="1110" w:type="dxa"/>
            <w:shd w:val="clear" w:color="auto" w:fill="auto"/>
            <w:vAlign w:val="center"/>
          </w:tcPr>
          <w:p>
            <w:pPr>
              <w:jc w:val="center"/>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变异率(%)</w:t>
            </w:r>
          </w:p>
        </w:tc>
        <w:tc>
          <w:tcPr>
            <w:tcW w:w="1468" w:type="dxa"/>
            <w:shd w:val="clear" w:color="auto" w:fill="auto"/>
            <w:vAlign w:val="center"/>
          </w:tcPr>
          <w:p>
            <w:pPr>
              <w:jc w:val="center"/>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cosmic</w:t>
            </w:r>
          </w:p>
        </w:tc>
      </w:tr>
      <w:tr>
        <w:tblPrEx>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Ex>
        <w:trPr>
          <w:trHeight w:val="222" w:hRule="atLeast"/>
        </w:trPr>
        <w:tc>
          <w:tcPr>
            <w:tcW w:w="1024" w:type="dxa"/>
            <w:shd w:val="clear" w:color="auto" w:fill="auto"/>
            <w:vAlign w:val="center"/>
          </w:tcPr>
          <w:p>
            <w:pPr>
              <w:jc w:val="center"/>
              <w:rPr>
                <w:rFonts w:ascii="微软雅黑" w:hAnsi="微软雅黑" w:eastAsia="微软雅黑"/>
                <w:i/>
                <w:sz w:val="18"/>
                <w:szCs w:val="18"/>
              </w:rPr>
            </w:pPr>
            <w:r>
              <w:rPr>
                <w:rFonts w:ascii="微软雅黑" w:hAnsi="微软雅黑" w:eastAsia="微软雅黑"/>
                <w:i/>
                <w:sz w:val="18"/>
                <w:szCs w:val="18"/>
              </w:rPr>
              <w:t>PIK3CA</w:t>
            </w:r>
          </w:p>
        </w:tc>
        <w:tc>
          <w:tcPr>
            <w:tcW w:w="1024"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chr3</w:t>
            </w:r>
          </w:p>
        </w:tc>
        <w:tc>
          <w:tcPr>
            <w:tcW w:w="1529"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NM_006218</w:t>
            </w:r>
          </w:p>
        </w:tc>
        <w:tc>
          <w:tcPr>
            <w:tcW w:w="957"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exon20</w:t>
            </w:r>
          </w:p>
        </w:tc>
        <w:tc>
          <w:tcPr>
            <w:tcW w:w="1289" w:type="dxa"/>
            <w:vAlign w:val="center"/>
          </w:tcPr>
          <w:p>
            <w:pPr>
              <w:jc w:val="center"/>
              <w:rPr>
                <w:rFonts w:ascii="微软雅黑" w:hAnsi="微软雅黑" w:eastAsia="微软雅黑"/>
                <w:sz w:val="18"/>
                <w:szCs w:val="18"/>
              </w:rPr>
            </w:pPr>
            <w:r>
              <w:rPr>
                <w:rFonts w:ascii="微软雅黑" w:hAnsi="微软雅黑" w:eastAsia="微软雅黑"/>
                <w:sz w:val="18"/>
                <w:szCs w:val="18"/>
              </w:rPr>
              <w:t>c.A3127G</w:t>
            </w:r>
          </w:p>
        </w:tc>
        <w:tc>
          <w:tcPr>
            <w:tcW w:w="1289"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p.M1043V</w:t>
            </w:r>
          </w:p>
        </w:tc>
        <w:tc>
          <w:tcPr>
            <w:tcW w:w="1110"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28.35</w:t>
            </w:r>
          </w:p>
        </w:tc>
        <w:tc>
          <w:tcPr>
            <w:tcW w:w="1468"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COSM12591</w:t>
            </w:r>
          </w:p>
        </w:tc>
      </w:tr>
      <w:tr>
        <w:tblPrEx>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Ex>
        <w:trPr>
          <w:trHeight w:val="222" w:hRule="atLeast"/>
        </w:trPr>
        <w:tc>
          <w:tcPr>
            <w:tcW w:w="1024" w:type="dxa"/>
            <w:shd w:val="clear" w:color="auto" w:fill="auto"/>
            <w:vAlign w:val="center"/>
          </w:tcPr>
          <w:p>
            <w:pPr>
              <w:jc w:val="center"/>
              <w:rPr>
                <w:rFonts w:ascii="微软雅黑" w:hAnsi="微软雅黑" w:eastAsia="微软雅黑"/>
                <w:i/>
                <w:sz w:val="18"/>
                <w:szCs w:val="18"/>
              </w:rPr>
            </w:pPr>
            <w:r>
              <w:rPr>
                <w:rFonts w:ascii="微软雅黑" w:hAnsi="微软雅黑" w:eastAsia="微软雅黑"/>
                <w:i/>
                <w:sz w:val="18"/>
                <w:szCs w:val="18"/>
              </w:rPr>
              <w:t>TP53</w:t>
            </w:r>
          </w:p>
        </w:tc>
        <w:tc>
          <w:tcPr>
            <w:tcW w:w="1024"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chr17</w:t>
            </w:r>
          </w:p>
        </w:tc>
        <w:tc>
          <w:tcPr>
            <w:tcW w:w="1529"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NM_000546</w:t>
            </w:r>
          </w:p>
        </w:tc>
        <w:tc>
          <w:tcPr>
            <w:tcW w:w="957"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exon5</w:t>
            </w:r>
          </w:p>
        </w:tc>
        <w:tc>
          <w:tcPr>
            <w:tcW w:w="1289" w:type="dxa"/>
            <w:vAlign w:val="center"/>
          </w:tcPr>
          <w:p>
            <w:pPr>
              <w:jc w:val="center"/>
              <w:rPr>
                <w:rFonts w:ascii="微软雅黑" w:hAnsi="微软雅黑" w:eastAsia="微软雅黑"/>
                <w:sz w:val="18"/>
                <w:szCs w:val="18"/>
              </w:rPr>
            </w:pPr>
            <w:r>
              <w:rPr>
                <w:rFonts w:ascii="微软雅黑" w:hAnsi="微软雅黑" w:eastAsia="微软雅黑"/>
                <w:sz w:val="18"/>
                <w:szCs w:val="18"/>
              </w:rPr>
              <w:t>c.C530T</w:t>
            </w:r>
          </w:p>
        </w:tc>
        <w:tc>
          <w:tcPr>
            <w:tcW w:w="1289"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p.P177L</w:t>
            </w:r>
          </w:p>
        </w:tc>
        <w:tc>
          <w:tcPr>
            <w:tcW w:w="1110"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17.63</w:t>
            </w:r>
          </w:p>
        </w:tc>
        <w:tc>
          <w:tcPr>
            <w:tcW w:w="1468"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COSM44097</w:t>
            </w:r>
          </w:p>
        </w:tc>
      </w:tr>
      <w:tr>
        <w:tblPrEx>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Ex>
        <w:trPr>
          <w:trHeight w:val="222" w:hRule="atLeast"/>
        </w:trPr>
        <w:tc>
          <w:tcPr>
            <w:tcW w:w="1024" w:type="dxa"/>
            <w:shd w:val="clear" w:color="auto" w:fill="auto"/>
            <w:vAlign w:val="center"/>
          </w:tcPr>
          <w:p>
            <w:pPr>
              <w:jc w:val="center"/>
              <w:rPr>
                <w:rFonts w:ascii="微软雅黑" w:hAnsi="微软雅黑" w:eastAsia="微软雅黑"/>
                <w:i/>
                <w:sz w:val="18"/>
                <w:szCs w:val="18"/>
              </w:rPr>
            </w:pPr>
            <w:r>
              <w:rPr>
                <w:rFonts w:ascii="微软雅黑" w:hAnsi="微软雅黑" w:eastAsia="微软雅黑"/>
                <w:i/>
                <w:sz w:val="18"/>
                <w:szCs w:val="18"/>
              </w:rPr>
              <w:t>CYP2D6</w:t>
            </w:r>
          </w:p>
        </w:tc>
        <w:tc>
          <w:tcPr>
            <w:tcW w:w="1024"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chr22</w:t>
            </w:r>
          </w:p>
        </w:tc>
        <w:tc>
          <w:tcPr>
            <w:tcW w:w="1529"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NM_000106</w:t>
            </w:r>
          </w:p>
        </w:tc>
        <w:tc>
          <w:tcPr>
            <w:tcW w:w="957"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exon4</w:t>
            </w:r>
          </w:p>
        </w:tc>
        <w:tc>
          <w:tcPr>
            <w:tcW w:w="1289" w:type="dxa"/>
            <w:vAlign w:val="center"/>
          </w:tcPr>
          <w:p>
            <w:pPr>
              <w:jc w:val="center"/>
              <w:rPr>
                <w:rFonts w:ascii="微软雅黑" w:hAnsi="微软雅黑" w:eastAsia="微软雅黑"/>
                <w:sz w:val="18"/>
                <w:szCs w:val="18"/>
              </w:rPr>
            </w:pPr>
            <w:r>
              <w:rPr>
                <w:rFonts w:ascii="微软雅黑" w:hAnsi="微软雅黑" w:eastAsia="微软雅黑"/>
                <w:sz w:val="18"/>
                <w:szCs w:val="18"/>
              </w:rPr>
              <w:t>c.T638C</w:t>
            </w:r>
          </w:p>
        </w:tc>
        <w:tc>
          <w:tcPr>
            <w:tcW w:w="1289"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p.L213P</w:t>
            </w:r>
          </w:p>
        </w:tc>
        <w:tc>
          <w:tcPr>
            <w:tcW w:w="1110"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4.7</w:t>
            </w:r>
          </w:p>
        </w:tc>
        <w:tc>
          <w:tcPr>
            <w:tcW w:w="1468" w:type="dxa"/>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COSM726953</w:t>
            </w:r>
          </w:p>
        </w:tc>
      </w:tr>
    </w:tbl>
    <w:p>
      <w:pPr>
        <w:spacing w:before="156" w:beforeLines="50" w:after="156" w:afterLines="50" w:line="360" w:lineRule="auto"/>
        <w:rPr>
          <w:rFonts w:ascii="微软雅黑" w:hAnsi="微软雅黑" w:eastAsia="微软雅黑"/>
          <w:sz w:val="16"/>
          <w:szCs w:val="16"/>
        </w:rPr>
      </w:pPr>
    </w:p>
    <w:p>
      <w:pPr>
        <w:spacing w:before="156" w:beforeLines="50" w:after="156" w:afterLines="50" w:line="360" w:lineRule="auto"/>
        <w:rPr>
          <w:rFonts w:ascii="微软雅黑" w:hAnsi="微软雅黑" w:eastAsia="微软雅黑"/>
          <w:sz w:val="36"/>
        </w:rPr>
      </w:pPr>
      <w:r>
        <w:rPr>
          <w:rFonts w:ascii="微软雅黑" w:hAnsi="微软雅黑" w:eastAsia="微软雅黑"/>
          <w:sz w:val="36"/>
        </w:rPr>
        <w:t>插入缺失</w:t>
      </w:r>
    </w:p>
    <w:tbl>
      <w:tblPr>
        <w:tblStyle w:val="21"/>
        <w:tblpPr w:leftFromText="180" w:rightFromText="180" w:vertAnchor="text" w:horzAnchor="margin" w:tblpXSpec="center" w:tblpY="23"/>
        <w:tblOverlap w:val="never"/>
        <w:tblW w:w="9690" w:type="dxa"/>
        <w:tblInd w:w="0" w:type="dxa"/>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
      <w:tblGrid>
        <w:gridCol w:w="1211"/>
        <w:gridCol w:w="1211"/>
        <w:gridCol w:w="1211"/>
        <w:gridCol w:w="1211"/>
        <w:gridCol w:w="1211"/>
        <w:gridCol w:w="1211"/>
        <w:gridCol w:w="1211"/>
        <w:gridCol w:w="1213"/>
      </w:tblGrid>
      <w:tr>
        <w:tblPrEx>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Ex>
        <w:trPr>
          <w:trHeight w:val="222" w:hRule="atLeast"/>
        </w:trPr>
        <w:tc>
          <w:tcPr>
            <w:tcW w:w="1211" w:type="dxa"/>
            <w:shd w:val="clear" w:color="auto" w:fill="auto"/>
            <w:vAlign w:val="center"/>
          </w:tcPr>
          <w:p>
            <w:pPr>
              <w:jc w:val="center"/>
              <w:rPr>
                <w:rFonts w:ascii="微软雅黑" w:hAnsi="微软雅黑" w:eastAsia="微软雅黑" w:cs="Times New Roman"/>
                <w:b/>
                <w:bCs/>
                <w:color w:val="000000"/>
                <w:sz w:val="18"/>
                <w:szCs w:val="18"/>
              </w:rPr>
            </w:pPr>
            <w:r>
              <w:rPr>
                <w:rFonts w:hint="eastAsia" w:ascii="微软雅黑" w:hAnsi="微软雅黑" w:eastAsia="微软雅黑" w:cs="Times New Roman"/>
                <w:b/>
                <w:bCs/>
                <w:color w:val="000000"/>
                <w:sz w:val="18"/>
                <w:szCs w:val="18"/>
              </w:rPr>
              <w:t>基因</w:t>
            </w:r>
          </w:p>
        </w:tc>
        <w:tc>
          <w:tcPr>
            <w:tcW w:w="1211" w:type="dxa"/>
            <w:shd w:val="clear" w:color="auto" w:fill="auto"/>
            <w:vAlign w:val="center"/>
          </w:tcPr>
          <w:p>
            <w:pPr>
              <w:jc w:val="center"/>
              <w:rPr>
                <w:rFonts w:ascii="微软雅黑" w:hAnsi="微软雅黑" w:eastAsia="微软雅黑" w:cs="Times New Roman"/>
                <w:b/>
                <w:bCs/>
                <w:color w:val="000000"/>
                <w:sz w:val="18"/>
                <w:szCs w:val="18"/>
              </w:rPr>
            </w:pPr>
            <w:r>
              <w:rPr>
                <w:rFonts w:hint="eastAsia" w:ascii="微软雅黑" w:hAnsi="微软雅黑" w:eastAsia="微软雅黑" w:cs="Times New Roman"/>
                <w:b/>
                <w:bCs/>
                <w:color w:val="000000"/>
                <w:sz w:val="18"/>
                <w:szCs w:val="18"/>
              </w:rPr>
              <w:t>染色体</w:t>
            </w:r>
          </w:p>
        </w:tc>
        <w:tc>
          <w:tcPr>
            <w:tcW w:w="1211" w:type="dxa"/>
            <w:shd w:val="clear" w:color="auto" w:fill="auto"/>
            <w:vAlign w:val="center"/>
          </w:tcPr>
          <w:p>
            <w:pPr>
              <w:jc w:val="center"/>
              <w:rPr>
                <w:rFonts w:ascii="微软雅黑" w:hAnsi="微软雅黑" w:eastAsia="微软雅黑" w:cs="Times New Roman"/>
                <w:b/>
                <w:bCs/>
                <w:color w:val="000000"/>
                <w:sz w:val="18"/>
                <w:szCs w:val="18"/>
              </w:rPr>
            </w:pPr>
            <w:r>
              <w:rPr>
                <w:rFonts w:hint="eastAsia" w:ascii="微软雅黑" w:hAnsi="微软雅黑" w:eastAsia="微软雅黑" w:cs="Times New Roman"/>
                <w:b/>
                <w:bCs/>
                <w:color w:val="000000"/>
                <w:sz w:val="18"/>
                <w:szCs w:val="18"/>
              </w:rPr>
              <w:t>转录本号</w:t>
            </w:r>
          </w:p>
        </w:tc>
        <w:tc>
          <w:tcPr>
            <w:tcW w:w="1211" w:type="dxa"/>
            <w:shd w:val="clear" w:color="auto" w:fill="auto"/>
            <w:vAlign w:val="center"/>
          </w:tcPr>
          <w:p>
            <w:pPr>
              <w:jc w:val="center"/>
              <w:rPr>
                <w:rFonts w:ascii="微软雅黑" w:hAnsi="微软雅黑" w:eastAsia="微软雅黑" w:cs="Times New Roman"/>
                <w:b/>
                <w:bCs/>
                <w:color w:val="000000"/>
                <w:sz w:val="18"/>
                <w:szCs w:val="18"/>
              </w:rPr>
            </w:pPr>
            <w:r>
              <w:rPr>
                <w:rFonts w:ascii="微软雅黑" w:hAnsi="微软雅黑" w:eastAsia="微软雅黑" w:cs="Times New Roman"/>
                <w:b/>
                <w:bCs/>
                <w:color w:val="000000"/>
                <w:sz w:val="18"/>
                <w:szCs w:val="18"/>
              </w:rPr>
              <w:t>外显子</w:t>
            </w:r>
          </w:p>
        </w:tc>
        <w:tc>
          <w:tcPr>
            <w:tcW w:w="1211" w:type="dxa"/>
            <w:vAlign w:val="center"/>
          </w:tcPr>
          <w:p>
            <w:pPr>
              <w:jc w:val="center"/>
              <w:rPr>
                <w:rFonts w:ascii="微软雅黑" w:hAnsi="微软雅黑" w:eastAsia="微软雅黑" w:cs="Times New Roman"/>
                <w:b/>
                <w:bCs/>
                <w:color w:val="000000"/>
                <w:sz w:val="18"/>
                <w:szCs w:val="18"/>
              </w:rPr>
            </w:pPr>
            <w:r>
              <w:rPr>
                <w:rFonts w:ascii="微软雅黑" w:hAnsi="微软雅黑" w:eastAsia="微软雅黑" w:cs="Times New Roman"/>
                <w:b/>
                <w:bCs/>
                <w:color w:val="000000"/>
                <w:sz w:val="18"/>
                <w:szCs w:val="18"/>
              </w:rPr>
              <w:t>碱基变化</w:t>
            </w:r>
          </w:p>
        </w:tc>
        <w:tc>
          <w:tcPr>
            <w:tcW w:w="1211" w:type="dxa"/>
            <w:shd w:val="clear" w:color="auto" w:fill="auto"/>
            <w:vAlign w:val="center"/>
          </w:tcPr>
          <w:p>
            <w:pPr>
              <w:jc w:val="center"/>
              <w:rPr>
                <w:rFonts w:ascii="微软雅黑" w:hAnsi="微软雅黑" w:eastAsia="微软雅黑" w:cs="Times New Roman"/>
                <w:b/>
                <w:bCs/>
                <w:color w:val="000000"/>
                <w:sz w:val="18"/>
                <w:szCs w:val="18"/>
              </w:rPr>
            </w:pPr>
            <w:r>
              <w:rPr>
                <w:rFonts w:ascii="微软雅黑" w:hAnsi="微软雅黑" w:eastAsia="微软雅黑" w:cs="Times New Roman"/>
                <w:b/>
                <w:bCs/>
                <w:color w:val="000000"/>
                <w:sz w:val="18"/>
                <w:szCs w:val="18"/>
              </w:rPr>
              <w:t>蛋白变化</w:t>
            </w:r>
          </w:p>
        </w:tc>
        <w:tc>
          <w:tcPr>
            <w:tcW w:w="1211" w:type="dxa"/>
            <w:shd w:val="clear" w:color="auto" w:fill="auto"/>
            <w:vAlign w:val="center"/>
          </w:tcPr>
          <w:p>
            <w:pPr>
              <w:jc w:val="center"/>
              <w:rPr>
                <w:rFonts w:ascii="微软雅黑" w:hAnsi="微软雅黑" w:eastAsia="微软雅黑" w:cs="Times New Roman"/>
                <w:b/>
                <w:bCs/>
                <w:color w:val="000000"/>
                <w:sz w:val="18"/>
                <w:szCs w:val="18"/>
              </w:rPr>
            </w:pPr>
            <w:r>
              <w:rPr>
                <w:rFonts w:ascii="微软雅黑" w:hAnsi="微软雅黑" w:eastAsia="微软雅黑" w:cs="Times New Roman"/>
                <w:b/>
                <w:bCs/>
                <w:color w:val="000000"/>
                <w:sz w:val="18"/>
                <w:szCs w:val="18"/>
              </w:rPr>
              <w:t>变异率(%)</w:t>
            </w:r>
          </w:p>
        </w:tc>
        <w:tc>
          <w:tcPr>
            <w:tcW w:w="1213" w:type="dxa"/>
            <w:shd w:val="clear" w:color="auto" w:fill="auto"/>
            <w:vAlign w:val="center"/>
          </w:tcPr>
          <w:p>
            <w:pPr>
              <w:jc w:val="center"/>
              <w:rPr>
                <w:rFonts w:ascii="微软雅黑" w:hAnsi="微软雅黑" w:eastAsia="微软雅黑" w:cs="Times New Roman"/>
                <w:b/>
                <w:bCs/>
                <w:color w:val="000000"/>
                <w:sz w:val="18"/>
                <w:szCs w:val="18"/>
              </w:rPr>
            </w:pPr>
            <w:r>
              <w:rPr>
                <w:rFonts w:ascii="微软雅黑" w:hAnsi="微软雅黑" w:eastAsia="微软雅黑" w:cs="Times New Roman"/>
                <w:b/>
                <w:bCs/>
                <w:color w:val="000000"/>
                <w:sz w:val="18"/>
                <w:szCs w:val="18"/>
              </w:rPr>
              <w:t>cosmic</w:t>
            </w:r>
          </w:p>
        </w:tc>
      </w:tr>
      <w:tr>
        <w:tblPrEx>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Ex>
        <w:trPr>
          <w:trHeight w:val="385" w:hRule="atLeast"/>
        </w:trPr>
        <w:tc>
          <w:tcPr>
            <w:tcW w:w="9690" w:type="dxa"/>
            <w:gridSpan w:val="8"/>
            <w:shd w:val="clear" w:color="auto" w:fill="auto"/>
            <w:vAlign w:val="center"/>
          </w:tcPr>
          <w:p>
            <w:pPr>
              <w:jc w:val="center"/>
              <w:rPr>
                <w:rFonts w:ascii="微软雅黑" w:hAnsi="微软雅黑" w:eastAsia="微软雅黑"/>
                <w:sz w:val="18"/>
                <w:szCs w:val="18"/>
              </w:rPr>
            </w:pPr>
            <w:r>
              <w:rPr>
                <w:rFonts w:ascii="微软雅黑" w:hAnsi="微软雅黑" w:eastAsia="微软雅黑"/>
                <w:sz w:val="18"/>
                <w:szCs w:val="18"/>
              </w:rPr>
              <w:t>无</w:t>
            </w:r>
          </w:p>
        </w:tc>
      </w:tr>
    </w:tbl>
    <w:p>
      <w:pPr>
        <w:rPr>
          <w:rFonts w:ascii="微软雅黑" w:hAnsi="微软雅黑" w:eastAsia="微软雅黑"/>
          <w:sz w:val="10"/>
          <w:szCs w:val="10"/>
        </w:rPr>
      </w:pPr>
    </w:p>
    <w:p>
      <w:pPr>
        <w:rPr>
          <w:rFonts w:ascii="微软雅黑" w:hAnsi="微软雅黑" w:eastAsia="微软雅黑"/>
          <w:sz w:val="10"/>
          <w:szCs w:val="10"/>
        </w:rPr>
      </w:pPr>
    </w:p>
    <w:p>
      <w:pPr>
        <w:spacing w:before="156" w:beforeLines="50" w:after="156" w:afterLines="50" w:line="360" w:lineRule="auto"/>
        <w:rPr>
          <w:rFonts w:ascii="微软雅黑" w:hAnsi="微软雅黑" w:eastAsia="微软雅黑"/>
          <w:sz w:val="36"/>
        </w:rPr>
      </w:pPr>
      <w:r>
        <w:rPr>
          <w:rFonts w:hint="eastAsia" w:ascii="微软雅黑" w:hAnsi="微软雅黑" w:eastAsia="微软雅黑"/>
          <w:sz w:val="36"/>
        </w:rPr>
        <w:t>扩增融合</w:t>
      </w:r>
    </w:p>
    <w:tbl>
      <w:tblPr>
        <w:tblStyle w:val="21"/>
        <w:tblW w:w="9906" w:type="dxa"/>
        <w:tblInd w:w="0" w:type="dxa"/>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
      <w:tblGrid>
        <w:gridCol w:w="4953"/>
        <w:gridCol w:w="4953"/>
      </w:tblGrid>
      <w:tr>
        <w:tblPrEx>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Ex>
        <w:trPr>
          <w:trHeight w:val="320" w:hRule="atLeast"/>
        </w:trPr>
        <w:tc>
          <w:tcPr>
            <w:tcW w:w="4953" w:type="dxa"/>
            <w:shd w:val="clear" w:color="auto" w:fill="auto"/>
            <w:vAlign w:val="center"/>
          </w:tcPr>
          <w:p>
            <w:pPr>
              <w:jc w:val="center"/>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基因</w:t>
            </w:r>
          </w:p>
        </w:tc>
        <w:tc>
          <w:tcPr>
            <w:tcW w:w="4953" w:type="dxa"/>
            <w:shd w:val="clear" w:color="auto" w:fill="auto"/>
            <w:vAlign w:val="center"/>
          </w:tcPr>
          <w:p>
            <w:pPr>
              <w:jc w:val="center"/>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结果</w:t>
            </w:r>
          </w:p>
        </w:tc>
      </w:tr>
      <w:tr>
        <w:tblPrEx>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Ex>
        <w:trPr>
          <w:trHeight w:val="320" w:hRule="atLeast"/>
        </w:trPr>
        <w:tc>
          <w:tcPr>
            <w:tcW w:w="4953" w:type="dxa"/>
            <w:shd w:val="clear" w:color="auto" w:fill="auto"/>
            <w:vAlign w:val="center"/>
          </w:tcPr>
          <w:p>
            <w:pPr>
              <w:jc w:val="center"/>
              <w:rPr>
                <w:rFonts w:ascii="微软雅黑" w:hAnsi="微软雅黑" w:eastAsia="微软雅黑" w:cs="Times New Roman"/>
                <w:bCs/>
                <w:i/>
                <w:color w:val="000000"/>
                <w:sz w:val="18"/>
                <w:szCs w:val="18"/>
              </w:rPr>
            </w:pPr>
            <w:r>
              <w:rPr>
                <w:rFonts w:ascii="微软雅黑" w:hAnsi="微软雅黑" w:eastAsia="微软雅黑" w:cs="Times New Roman"/>
                <w:bCs/>
                <w:i/>
                <w:color w:val="000000"/>
                <w:sz w:val="18"/>
                <w:szCs w:val="18"/>
              </w:rPr>
              <w:t>ALK</w:t>
            </w:r>
          </w:p>
        </w:tc>
        <w:tc>
          <w:tcPr>
            <w:tcW w:w="4953" w:type="dxa"/>
            <w:shd w:val="clear" w:color="auto" w:fill="auto"/>
          </w:tcPr>
          <w:p>
            <w:pPr>
              <w:jc w:val="center"/>
              <w:rPr>
                <w:sz w:val="18"/>
                <w:szCs w:val="18"/>
              </w:rPr>
            </w:pPr>
            <w:r>
              <w:rPr>
                <w:rFonts w:hint="eastAsia" w:ascii="微软雅黑" w:hAnsi="微软雅黑" w:eastAsia="微软雅黑" w:cs="Times New Roman"/>
                <w:bCs/>
                <w:color w:val="000000"/>
                <w:sz w:val="18"/>
                <w:szCs w:val="18"/>
              </w:rPr>
              <w:t>未见融合</w:t>
            </w:r>
          </w:p>
        </w:tc>
      </w:tr>
      <w:tr>
        <w:tblPrEx>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Ex>
        <w:trPr>
          <w:trHeight w:val="320" w:hRule="atLeast"/>
        </w:trPr>
        <w:tc>
          <w:tcPr>
            <w:tcW w:w="4953" w:type="dxa"/>
            <w:shd w:val="clear" w:color="auto" w:fill="auto"/>
            <w:vAlign w:val="center"/>
          </w:tcPr>
          <w:p>
            <w:pPr>
              <w:jc w:val="center"/>
              <w:rPr>
                <w:rFonts w:ascii="微软雅黑" w:hAnsi="微软雅黑" w:eastAsia="微软雅黑" w:cs="Times New Roman"/>
                <w:bCs/>
                <w:i/>
                <w:color w:val="000000"/>
                <w:sz w:val="18"/>
                <w:szCs w:val="18"/>
              </w:rPr>
            </w:pPr>
            <w:r>
              <w:rPr>
                <w:rFonts w:ascii="微软雅黑" w:hAnsi="微软雅黑" w:eastAsia="微软雅黑" w:cs="Times New Roman"/>
                <w:bCs/>
                <w:i/>
                <w:color w:val="000000"/>
                <w:sz w:val="18"/>
                <w:szCs w:val="18"/>
              </w:rPr>
              <w:t>ROS1</w:t>
            </w:r>
          </w:p>
        </w:tc>
        <w:tc>
          <w:tcPr>
            <w:tcW w:w="4953" w:type="dxa"/>
            <w:shd w:val="clear" w:color="auto" w:fill="auto"/>
          </w:tcPr>
          <w:p>
            <w:pPr>
              <w:jc w:val="center"/>
              <w:rPr>
                <w:sz w:val="18"/>
                <w:szCs w:val="18"/>
              </w:rPr>
            </w:pPr>
            <w:r>
              <w:rPr>
                <w:rFonts w:hint="eastAsia" w:ascii="微软雅黑" w:hAnsi="微软雅黑" w:eastAsia="微软雅黑" w:cs="Times New Roman"/>
                <w:bCs/>
                <w:color w:val="000000"/>
                <w:sz w:val="18"/>
                <w:szCs w:val="18"/>
              </w:rPr>
              <w:t>未见融合</w:t>
            </w:r>
          </w:p>
        </w:tc>
      </w:tr>
      <w:tr>
        <w:tblPrEx>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Ex>
        <w:trPr>
          <w:trHeight w:val="320" w:hRule="atLeast"/>
        </w:trPr>
        <w:tc>
          <w:tcPr>
            <w:tcW w:w="4953" w:type="dxa"/>
            <w:shd w:val="clear" w:color="auto" w:fill="auto"/>
            <w:vAlign w:val="center"/>
          </w:tcPr>
          <w:p>
            <w:pPr>
              <w:jc w:val="center"/>
              <w:rPr>
                <w:rFonts w:ascii="微软雅黑" w:hAnsi="微软雅黑" w:eastAsia="微软雅黑" w:cs="Times New Roman"/>
                <w:bCs/>
                <w:i/>
                <w:color w:val="000000"/>
                <w:sz w:val="18"/>
                <w:szCs w:val="18"/>
              </w:rPr>
            </w:pPr>
            <w:r>
              <w:rPr>
                <w:rFonts w:ascii="微软雅黑" w:hAnsi="微软雅黑" w:eastAsia="微软雅黑" w:cs="Times New Roman"/>
                <w:bCs/>
                <w:i/>
                <w:color w:val="000000"/>
                <w:sz w:val="18"/>
                <w:szCs w:val="18"/>
              </w:rPr>
              <w:t>RET</w:t>
            </w:r>
          </w:p>
        </w:tc>
        <w:tc>
          <w:tcPr>
            <w:tcW w:w="4953" w:type="dxa"/>
            <w:shd w:val="clear" w:color="auto" w:fill="auto"/>
          </w:tcPr>
          <w:p>
            <w:pPr>
              <w:jc w:val="center"/>
              <w:rPr>
                <w:sz w:val="18"/>
                <w:szCs w:val="18"/>
              </w:rPr>
            </w:pPr>
            <w:r>
              <w:rPr>
                <w:rFonts w:hint="eastAsia" w:ascii="微软雅黑" w:hAnsi="微软雅黑" w:eastAsia="微软雅黑" w:cs="Times New Roman"/>
                <w:bCs/>
                <w:color w:val="000000"/>
                <w:sz w:val="18"/>
                <w:szCs w:val="18"/>
              </w:rPr>
              <w:t>未见融合</w:t>
            </w:r>
          </w:p>
        </w:tc>
      </w:tr>
      <w:tr>
        <w:tblPrEx>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Ex>
        <w:trPr>
          <w:trHeight w:val="320" w:hRule="atLeast"/>
        </w:trPr>
        <w:tc>
          <w:tcPr>
            <w:tcW w:w="4953" w:type="dxa"/>
            <w:shd w:val="clear" w:color="auto" w:fill="auto"/>
            <w:vAlign w:val="center"/>
          </w:tcPr>
          <w:p>
            <w:pPr>
              <w:jc w:val="center"/>
              <w:rPr>
                <w:rFonts w:ascii="微软雅黑" w:hAnsi="微软雅黑" w:eastAsia="微软雅黑" w:cs="Times New Roman"/>
                <w:bCs/>
                <w:i/>
                <w:color w:val="000000"/>
                <w:sz w:val="18"/>
                <w:szCs w:val="18"/>
              </w:rPr>
            </w:pPr>
            <w:r>
              <w:rPr>
                <w:rFonts w:hint="eastAsia" w:ascii="微软雅黑" w:hAnsi="微软雅黑" w:eastAsia="微软雅黑" w:cs="Times New Roman"/>
                <w:bCs/>
                <w:i/>
                <w:color w:val="000000"/>
                <w:sz w:val="18"/>
                <w:szCs w:val="18"/>
              </w:rPr>
              <w:t>HER2</w:t>
            </w:r>
          </w:p>
        </w:tc>
        <w:tc>
          <w:tcPr>
            <w:tcW w:w="4953" w:type="dxa"/>
            <w:shd w:val="clear" w:color="auto" w:fill="auto"/>
          </w:tcPr>
          <w:p>
            <w:pPr>
              <w:jc w:val="center"/>
              <w:rPr>
                <w:rFonts w:ascii="微软雅黑" w:hAnsi="微软雅黑" w:eastAsia="微软雅黑" w:cs="Times New Roman"/>
                <w:bCs/>
                <w:color w:val="000000"/>
                <w:sz w:val="18"/>
                <w:szCs w:val="18"/>
              </w:rPr>
            </w:pPr>
            <w:r>
              <w:rPr>
                <w:rFonts w:hint="eastAsia" w:ascii="微软雅黑" w:hAnsi="微软雅黑" w:eastAsia="微软雅黑" w:cs="Times New Roman"/>
                <w:bCs/>
                <w:color w:val="000000"/>
                <w:sz w:val="18"/>
                <w:szCs w:val="18"/>
              </w:rPr>
              <w:t>未见扩增</w:t>
            </w:r>
          </w:p>
        </w:tc>
      </w:tr>
      <w:tr>
        <w:tblPrEx>
          <w:tblBorders>
            <w:top w:val="single" w:color="BEBEBE" w:sz="4" w:space="0"/>
            <w:left w:val="none" w:color="auto" w:sz="0" w:space="0"/>
            <w:bottom w:val="single" w:color="BEBEBE" w:sz="4" w:space="0"/>
            <w:right w:val="none" w:color="auto" w:sz="0" w:space="0"/>
            <w:insideH w:val="single" w:color="BEBEBE" w:sz="4" w:space="0"/>
            <w:insideV w:val="none" w:color="auto" w:sz="0" w:space="0"/>
          </w:tblBorders>
          <w:tblLayout w:type="fixed"/>
          <w:tblCellMar>
            <w:top w:w="0" w:type="dxa"/>
            <w:left w:w="108" w:type="dxa"/>
            <w:bottom w:w="0" w:type="dxa"/>
            <w:right w:w="108" w:type="dxa"/>
          </w:tblCellMar>
        </w:tblPrEx>
        <w:trPr>
          <w:trHeight w:val="320" w:hRule="atLeast"/>
        </w:trPr>
        <w:tc>
          <w:tcPr>
            <w:tcW w:w="4953" w:type="dxa"/>
            <w:shd w:val="clear" w:color="auto" w:fill="auto"/>
            <w:vAlign w:val="center"/>
          </w:tcPr>
          <w:p>
            <w:pPr>
              <w:jc w:val="center"/>
              <w:rPr>
                <w:rFonts w:ascii="微软雅黑" w:hAnsi="微软雅黑" w:eastAsia="微软雅黑" w:cs="Times New Roman"/>
                <w:bCs/>
                <w:i/>
                <w:color w:val="000000"/>
                <w:sz w:val="18"/>
                <w:szCs w:val="18"/>
              </w:rPr>
            </w:pPr>
            <w:r>
              <w:rPr>
                <w:rFonts w:hint="eastAsia" w:ascii="微软雅黑" w:hAnsi="微软雅黑" w:eastAsia="微软雅黑" w:cs="Times New Roman"/>
                <w:bCs/>
                <w:i/>
                <w:color w:val="000000"/>
                <w:sz w:val="18"/>
                <w:szCs w:val="18"/>
              </w:rPr>
              <w:t>MET</w:t>
            </w:r>
          </w:p>
        </w:tc>
        <w:tc>
          <w:tcPr>
            <w:tcW w:w="4953" w:type="dxa"/>
            <w:shd w:val="clear" w:color="auto" w:fill="auto"/>
          </w:tcPr>
          <w:p>
            <w:pPr>
              <w:jc w:val="center"/>
              <w:rPr>
                <w:rFonts w:ascii="微软雅黑" w:hAnsi="微软雅黑" w:eastAsia="微软雅黑" w:cs="Times New Roman"/>
                <w:bCs/>
                <w:color w:val="000000"/>
                <w:sz w:val="18"/>
                <w:szCs w:val="18"/>
              </w:rPr>
            </w:pPr>
            <w:r>
              <w:rPr>
                <w:rFonts w:hint="eastAsia" w:ascii="微软雅黑" w:hAnsi="微软雅黑" w:eastAsia="微软雅黑" w:cs="Times New Roman"/>
                <w:bCs/>
                <w:color w:val="000000"/>
                <w:sz w:val="18"/>
                <w:szCs w:val="18"/>
              </w:rPr>
              <w:t>未见扩增</w:t>
            </w:r>
          </w:p>
        </w:tc>
      </w:tr>
    </w:tbl>
    <w:p>
      <w:pPr>
        <w:rPr>
          <w:rFonts w:ascii="微软雅黑" w:hAnsi="微软雅黑" w:eastAsia="微软雅黑" w:cs="微软雅黑"/>
          <w:color w:val="262626" w:themeColor="text1" w:themeTint="D9"/>
          <w:sz w:val="15"/>
          <w:szCs w:val="15"/>
          <w14:textFill>
            <w14:solidFill>
              <w14:schemeClr w14:val="tx1">
                <w14:lumMod w14:val="85000"/>
                <w14:lumOff w14:val="15000"/>
              </w14:schemeClr>
            </w14:solidFill>
          </w14:textFill>
        </w:rPr>
      </w:pPr>
    </w:p>
    <w:p>
      <w:pPr>
        <w:rPr>
          <w:rFonts w:ascii="微软雅黑" w:hAnsi="微软雅黑" w:eastAsia="微软雅黑"/>
          <w:bCs/>
          <w:kern w:val="44"/>
          <w:sz w:val="18"/>
          <w:szCs w:val="18"/>
        </w:rPr>
      </w:pPr>
      <w:r>
        <w:rPr>
          <w:rFonts w:hint="eastAsia"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t>注：“─”表示该突变未有</w:t>
      </w:r>
      <w:r>
        <w:rPr>
          <w:rFonts w:ascii="微软雅黑" w:hAnsi="微软雅黑" w:eastAsia="微软雅黑" w:cs="Times New Roman"/>
          <w:bCs/>
          <w:color w:val="000000"/>
          <w:sz w:val="18"/>
          <w:szCs w:val="18"/>
        </w:rPr>
        <w:t>cosmic</w:t>
      </w:r>
      <w:r>
        <w:rPr>
          <w:rFonts w:hint="eastAsia" w:ascii="微软雅黑" w:hAnsi="微软雅黑" w:eastAsia="微软雅黑" w:cs="Times New Roman"/>
          <w:bCs/>
          <w:color w:val="000000"/>
          <w:sz w:val="18"/>
          <w:szCs w:val="18"/>
        </w:rPr>
        <w:t>数据库</w:t>
      </w:r>
      <w:r>
        <w:rPr>
          <w:rFonts w:hint="eastAsia"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t>记录</w:t>
      </w:r>
    </w:p>
    <w:p>
      <w:pPr>
        <w:rPr>
          <w:rFonts w:asciiTheme="majorEastAsia" w:hAnsiTheme="majorEastAsia" w:eastAsiaTheme="majorEastAsia"/>
          <w:b/>
          <w:color w:val="1D478C"/>
          <w:sz w:val="28"/>
          <w:szCs w:val="28"/>
        </w:rPr>
      </w:pPr>
      <w:r>
        <w:rPr>
          <w:rFonts w:ascii="微软雅黑" w:hAnsi="微软雅黑" w:eastAsia="微软雅黑"/>
          <w:bCs/>
          <w:kern w:val="44"/>
          <w:sz w:val="36"/>
          <w:szCs w:val="36"/>
        </w:rPr>
        <w:br w:type="page"/>
      </w:r>
    </w:p>
    <w:p>
      <w:pPr>
        <w:keepNext/>
        <w:keepLines/>
        <w:spacing w:line="360" w:lineRule="auto"/>
        <w:outlineLvl w:val="0"/>
        <w:rPr>
          <w:rStyle w:val="50"/>
          <w:rFonts w:ascii="微软雅黑" w:hAnsi="微软雅黑" w:eastAsia="微软雅黑"/>
          <w:b w:val="0"/>
          <w:sz w:val="36"/>
          <w:szCs w:val="36"/>
        </w:rPr>
      </w:pPr>
      <w:bookmarkStart w:id="27" w:name="_Toc487814224"/>
      <w:bookmarkStart w:id="28" w:name="_Toc458781968"/>
      <w:r>
        <w:rPr>
          <w:rStyle w:val="50"/>
          <w:rFonts w:hint="eastAsia" w:ascii="微软雅黑" w:hAnsi="微软雅黑" w:eastAsia="微软雅黑"/>
          <w:b w:val="0"/>
          <w:sz w:val="36"/>
          <w:szCs w:val="36"/>
        </w:rPr>
        <w:t>附录三：相关检测基因解析</w:t>
      </w:r>
      <w:bookmarkEnd w:id="27"/>
      <w:bookmarkEnd w:id="28"/>
    </w:p>
    <w:p>
      <w:pPr>
        <w:rPr>
          <w:rStyle w:val="50"/>
          <w:rFonts w:ascii="微软雅黑" w:hAnsi="微软雅黑" w:eastAsia="微软雅黑"/>
          <w:b w:val="0"/>
          <w:sz w:val="10"/>
          <w:szCs w:val="10"/>
        </w:rPr>
      </w:pPr>
    </w:p>
    <w:tbl>
      <w:tblPr>
        <w:tblStyle w:val="21"/>
        <w:tblW w:w="9519" w:type="dxa"/>
        <w:tblInd w:w="135" w:type="dxa"/>
        <w:tblLayout w:type="fixed"/>
        <w:tblCellMar>
          <w:top w:w="0" w:type="dxa"/>
          <w:left w:w="108" w:type="dxa"/>
          <w:bottom w:w="0" w:type="dxa"/>
          <w:right w:w="108" w:type="dxa"/>
        </w:tblCellMar>
      </w:tblPr>
      <w:tblGrid>
        <w:gridCol w:w="1566"/>
        <w:gridCol w:w="7953"/>
      </w:tblGrid>
      <w:tr>
        <w:tblPrEx>
          <w:tblLayout w:type="fixed"/>
          <w:tblCellMar>
            <w:top w:w="0" w:type="dxa"/>
            <w:left w:w="108" w:type="dxa"/>
            <w:bottom w:w="0" w:type="dxa"/>
            <w:right w:w="108" w:type="dxa"/>
          </w:tblCellMar>
        </w:tblPrEx>
        <w:trPr>
          <w:trHeight w:val="340" w:hRule="exact"/>
        </w:trPr>
        <w:tc>
          <w:tcPr>
            <w:tcW w:w="1566" w:type="dxa"/>
            <w:tcBorders>
              <w:top w:val="single" w:color="BFBFBF" w:sz="4" w:space="0"/>
              <w:bottom w:val="single" w:color="BFBFBF" w:sz="4" w:space="0"/>
            </w:tcBorders>
            <w:vAlign w:val="center"/>
          </w:tcPr>
          <w:p>
            <w:pPr>
              <w:jc w:val="center"/>
              <w:rPr>
                <w:rFonts w:ascii="微软雅黑" w:hAnsi="微软雅黑" w:eastAsia="微软雅黑" w:cs="微软雅黑"/>
                <w:b/>
                <w:bCs/>
                <w:color w:val="262626"/>
                <w:sz w:val="15"/>
                <w:szCs w:val="15"/>
              </w:rPr>
            </w:pPr>
            <w:r>
              <w:rPr>
                <w:rFonts w:hint="eastAsia" w:ascii="微软雅黑" w:hAnsi="微软雅黑" w:eastAsia="微软雅黑" w:cs="微软雅黑"/>
                <w:b/>
                <w:bCs/>
                <w:color w:val="262626"/>
                <w:sz w:val="15"/>
                <w:szCs w:val="15"/>
              </w:rPr>
              <w:t>基因</w:t>
            </w:r>
          </w:p>
        </w:tc>
        <w:tc>
          <w:tcPr>
            <w:tcW w:w="7953" w:type="dxa"/>
            <w:tcBorders>
              <w:top w:val="single" w:color="BFBFBF" w:sz="4" w:space="0"/>
              <w:bottom w:val="single" w:color="BFBFBF" w:sz="4" w:space="0"/>
            </w:tcBorders>
            <w:vAlign w:val="center"/>
          </w:tcPr>
          <w:p>
            <w:pPr>
              <w:jc w:val="center"/>
              <w:rPr>
                <w:rFonts w:ascii="微软雅黑" w:hAnsi="微软雅黑" w:eastAsia="微软雅黑" w:cs="微软雅黑"/>
                <w:b/>
                <w:bCs/>
                <w:color w:val="262626"/>
                <w:sz w:val="15"/>
                <w:szCs w:val="15"/>
              </w:rPr>
            </w:pPr>
            <w:r>
              <w:rPr>
                <w:rFonts w:hint="eastAsia" w:ascii="微软雅黑" w:hAnsi="微软雅黑" w:eastAsia="微软雅黑" w:cs="微软雅黑"/>
                <w:b/>
                <w:bCs/>
                <w:color w:val="262626"/>
                <w:sz w:val="15"/>
                <w:szCs w:val="15"/>
              </w:rPr>
              <w:t>致癌机理</w:t>
            </w:r>
          </w:p>
        </w:tc>
      </w:tr>
      <w:tr>
        <w:tblPrEx>
          <w:tblLayout w:type="fixed"/>
          <w:tblCellMar>
            <w:top w:w="0" w:type="dxa"/>
            <w:left w:w="108" w:type="dxa"/>
            <w:bottom w:w="0" w:type="dxa"/>
            <w:right w:w="108" w:type="dxa"/>
          </w:tblCellMar>
        </w:tblPrEx>
        <w:trPr>
          <w:trHeight w:val="1857" w:hRule="exact"/>
        </w:trPr>
        <w:tc>
          <w:tcPr>
            <w:tcW w:w="1566" w:type="dxa"/>
            <w:tcBorders>
              <w:top w:val="single" w:color="BFBFBF" w:sz="4" w:space="0"/>
              <w:bottom w:val="single" w:color="BFBFBF" w:sz="4" w:space="0"/>
            </w:tcBorders>
            <w:shd w:val="clear" w:color="auto" w:fill="D9D9D9"/>
            <w:vAlign w:val="center"/>
          </w:tcPr>
          <w:p>
            <w:pPr>
              <w:jc w:val="center"/>
              <w:rPr>
                <w:rFonts w:ascii="微软雅黑" w:hAnsi="微软雅黑" w:eastAsia="微软雅黑" w:cs="微软雅黑"/>
                <w:i/>
                <w:color w:val="262626"/>
                <w:sz w:val="15"/>
                <w:szCs w:val="15"/>
              </w:rPr>
            </w:pPr>
            <w:r>
              <w:rPr>
                <w:rFonts w:hint="eastAsia" w:ascii="微软雅黑" w:hAnsi="微软雅黑" w:eastAsia="微软雅黑" w:cs="微软雅黑"/>
                <w:i/>
                <w:color w:val="262626"/>
                <w:sz w:val="15"/>
                <w:szCs w:val="15"/>
              </w:rPr>
              <w:t>ABCB1</w:t>
            </w:r>
            <w:r>
              <w:rPr>
                <w:rFonts w:hint="eastAsia" w:ascii="微软雅黑" w:hAnsi="微软雅黑" w:eastAsia="微软雅黑" w:cs="微软雅黑"/>
                <w:i/>
                <w:color w:val="262626"/>
                <w:sz w:val="15"/>
                <w:szCs w:val="15"/>
                <w:lang w:eastAsia="ja-JP"/>
              </w:rPr>
              <w:t xml:space="preserve"> (MDR1)</w:t>
            </w:r>
          </w:p>
        </w:tc>
        <w:tc>
          <w:tcPr>
            <w:tcW w:w="7953" w:type="dxa"/>
            <w:tcBorders>
              <w:top w:val="single" w:color="BFBFBF" w:sz="4" w:space="0"/>
              <w:bottom w:val="single" w:color="BFBFBF" w:sz="4" w:space="0"/>
            </w:tcBorders>
            <w:vAlign w:val="center"/>
          </w:tcPr>
          <w:p>
            <w:pPr>
              <w:spacing w:line="360" w:lineRule="atLeast"/>
              <w:jc w:val="both"/>
              <w:rPr>
                <w:rFonts w:ascii="微软雅黑" w:hAnsi="微软雅黑" w:eastAsia="微软雅黑" w:cs="微软雅黑"/>
                <w:sz w:val="15"/>
                <w:szCs w:val="15"/>
              </w:rPr>
            </w:pPr>
            <w:r>
              <w:rPr>
                <w:rFonts w:hint="eastAsia" w:ascii="微软雅黑" w:hAnsi="微软雅黑" w:eastAsia="微软雅黑" w:cs="微软雅黑"/>
                <w:color w:val="262626"/>
                <w:sz w:val="15"/>
                <w:szCs w:val="15"/>
              </w:rPr>
              <w:t>MDR1（多重耐药基因1）表达产物是</w:t>
            </w:r>
            <w:r>
              <w:fldChar w:fldCharType="begin"/>
            </w:r>
            <w:r>
              <w:instrText xml:space="preserve"> HYPERLINK "https://www.baidu.com/s?wd=P-%E7%B3%96%E8%9B%8B%E7%99%BD&amp;tn=44039180_cpr&amp;fenlei=mv6quAkxTZn0IZRqIHckPjm4nH00T1YYm1P-rAcLrHf1uycdnjKh0ZwV5Hcvrjm3rH6sPfKWUMw85HfYnjn4nH6sgvPsT6KdThsqpZwYTjCEQLGCpyw9Uz4Bmy-bIi4WUvYETgN-TLwGUv3ErHD4rjRLnHn" \t "http://zhidao.baidu.com/_blank" </w:instrText>
            </w:r>
            <w:r>
              <w:fldChar w:fldCharType="separate"/>
            </w:r>
            <w:r>
              <w:rPr>
                <w:rFonts w:hint="eastAsia" w:ascii="微软雅黑" w:hAnsi="微软雅黑" w:eastAsia="微软雅黑" w:cs="微软雅黑"/>
                <w:color w:val="262626"/>
                <w:sz w:val="15"/>
                <w:szCs w:val="15"/>
              </w:rPr>
              <w:t>P-糖蛋白</w:t>
            </w:r>
            <w:r>
              <w:rPr>
                <w:rFonts w:hint="eastAsia" w:ascii="微软雅黑" w:hAnsi="微软雅黑" w:eastAsia="微软雅黑" w:cs="微软雅黑"/>
                <w:color w:val="262626"/>
                <w:sz w:val="15"/>
                <w:szCs w:val="15"/>
              </w:rPr>
              <w:fldChar w:fldCharType="end"/>
            </w:r>
            <w:r>
              <w:rPr>
                <w:rFonts w:hint="eastAsia" w:ascii="微软雅黑" w:hAnsi="微软雅黑" w:eastAsia="微软雅黑" w:cs="微软雅黑"/>
                <w:color w:val="262626"/>
                <w:sz w:val="15"/>
                <w:szCs w:val="15"/>
              </w:rPr>
              <w:t>，该蛋白有ATP依赖性跨膜转运活性，可将药物转运至细胞外，属细胞获得耐药性。肿瘤细胞多药耐药性是肿瘤化疗失败的主要原因之一。MDR作为一种广谱耐药现象，许多天然来源的抗肿瘤药物如紫杉醇，蒽环类和抗肿瘤抗生素等都易发生耐药现象。其机理为MDR1扩散及其蛋白产物过表达。几乎所有的肿瘤类型均有该基因的表达。目前发现与MDR1基因表达相关的多态性是26号外显子3435位点上的沉默突变。</w:t>
            </w:r>
          </w:p>
        </w:tc>
      </w:tr>
      <w:tr>
        <w:tblPrEx>
          <w:tblLayout w:type="fixed"/>
          <w:tblCellMar>
            <w:top w:w="0" w:type="dxa"/>
            <w:left w:w="108" w:type="dxa"/>
            <w:bottom w:w="0" w:type="dxa"/>
            <w:right w:w="108" w:type="dxa"/>
          </w:tblCellMar>
        </w:tblPrEx>
        <w:trPr>
          <w:trHeight w:val="1854" w:hRule="exact"/>
        </w:trPr>
        <w:tc>
          <w:tcPr>
            <w:tcW w:w="1566" w:type="dxa"/>
            <w:tcBorders>
              <w:top w:val="single" w:color="BFBFBF" w:sz="4" w:space="0"/>
              <w:bottom w:val="single" w:color="BFBFBF" w:sz="4" w:space="0"/>
            </w:tcBorders>
            <w:vAlign w:val="center"/>
          </w:tcPr>
          <w:p>
            <w:pPr>
              <w:jc w:val="center"/>
              <w:rPr>
                <w:rFonts w:ascii="微软雅黑" w:hAnsi="微软雅黑" w:eastAsia="微软雅黑" w:cs="微软雅黑"/>
                <w:i/>
                <w:color w:val="262626"/>
                <w:sz w:val="15"/>
                <w:szCs w:val="15"/>
              </w:rPr>
            </w:pPr>
            <w:r>
              <w:rPr>
                <w:rFonts w:hint="eastAsia" w:ascii="微软雅黑" w:hAnsi="微软雅黑" w:eastAsia="微软雅黑" w:cs="微软雅黑"/>
                <w:i/>
                <w:color w:val="262626"/>
                <w:sz w:val="15"/>
                <w:szCs w:val="15"/>
              </w:rPr>
              <w:t>ABL1</w:t>
            </w:r>
          </w:p>
        </w:tc>
        <w:tc>
          <w:tcPr>
            <w:tcW w:w="7953" w:type="dxa"/>
            <w:tcBorders>
              <w:top w:val="single" w:color="BFBFBF" w:sz="4" w:space="0"/>
              <w:bottom w:val="single" w:color="BFBFBF" w:sz="4" w:space="0"/>
            </w:tcBorders>
            <w:vAlign w:val="center"/>
          </w:tcPr>
          <w:p>
            <w:pPr>
              <w:jc w:val="both"/>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ABL1（ c-abl oncogene 1非受体型酪氨酸激酶）是一种原癌基因。9号染色体长链的Abl基因（位置q34）与22号染色体长链BCR基因（位置q11）发生并列性易位产生新的融合基因，编码的蛋白为P210，具有增强酪氨酸激酶的活性，改变细胞蛋白质酪氨酸磷酸化水平和细胞微丝机动蛋白的功能，从而扰乱细胞内正常的信号传导途径，抑制凋亡导致慢性粒细胞性白血病（CML）。伊马替尼作为特异的abl酪氨酸激酶抑制剂，通过抑制bcr-abl活性，使得参与细胞周期、粘附骨架形成等生理过程的基因转录发生改变，引起bcr-abl+细胞分化、凋亡.</w:t>
            </w:r>
          </w:p>
        </w:tc>
      </w:tr>
      <w:tr>
        <w:tblPrEx>
          <w:tblLayout w:type="fixed"/>
          <w:tblCellMar>
            <w:top w:w="0" w:type="dxa"/>
            <w:left w:w="108" w:type="dxa"/>
            <w:bottom w:w="0" w:type="dxa"/>
            <w:right w:w="108" w:type="dxa"/>
          </w:tblCellMar>
        </w:tblPrEx>
        <w:trPr>
          <w:trHeight w:val="1387" w:hRule="exact"/>
        </w:trPr>
        <w:tc>
          <w:tcPr>
            <w:tcW w:w="1566" w:type="dxa"/>
            <w:tcBorders>
              <w:top w:val="single" w:color="BFBFBF" w:sz="4" w:space="0"/>
              <w:bottom w:val="single" w:color="BFBFBF" w:sz="4" w:space="0"/>
            </w:tcBorders>
            <w:shd w:val="clear" w:color="auto" w:fill="D9D9D9"/>
            <w:vAlign w:val="center"/>
          </w:tcPr>
          <w:p>
            <w:pPr>
              <w:jc w:val="center"/>
              <w:rPr>
                <w:rFonts w:ascii="微软雅黑" w:hAnsi="微软雅黑" w:eastAsia="微软雅黑" w:cs="微软雅黑"/>
                <w:i/>
                <w:color w:val="262626"/>
                <w:sz w:val="15"/>
                <w:szCs w:val="15"/>
              </w:rPr>
            </w:pPr>
            <w:r>
              <w:rPr>
                <w:rFonts w:hint="eastAsia" w:ascii="微软雅黑" w:hAnsi="微软雅黑" w:eastAsia="微软雅黑" w:cs="微软雅黑"/>
                <w:i/>
                <w:color w:val="262626"/>
                <w:sz w:val="15"/>
                <w:szCs w:val="15"/>
              </w:rPr>
              <w:t>AKT2</w:t>
            </w:r>
          </w:p>
        </w:tc>
        <w:tc>
          <w:tcPr>
            <w:tcW w:w="7953" w:type="dxa"/>
            <w:tcBorders>
              <w:top w:val="single" w:color="BFBFBF" w:sz="4" w:space="0"/>
              <w:bottom w:val="single" w:color="BFBFBF" w:sz="4" w:space="0"/>
            </w:tcBorders>
            <w:vAlign w:val="center"/>
          </w:tcPr>
          <w:p>
            <w:pPr>
              <w:jc w:val="both"/>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AKT2是AKT的重要亚型之一，是重要的细胞周期调节基因和原癌基因。AKT2是PI3K信号传导通路中的重要分子，可介导PI3K依赖的细胞黏附、运动、侵袭和转移效应。转染AKT2可上调β-整合素增加乳腺癌和卵巢癌细胞的侵袭和转移。在NSCLC中，AKT2的表达是患者预后不良的生物学标志。</w:t>
            </w:r>
          </w:p>
        </w:tc>
      </w:tr>
      <w:tr>
        <w:tblPrEx>
          <w:tblLayout w:type="fixed"/>
          <w:tblCellMar>
            <w:top w:w="0" w:type="dxa"/>
            <w:left w:w="108" w:type="dxa"/>
            <w:bottom w:w="0" w:type="dxa"/>
            <w:right w:w="108" w:type="dxa"/>
          </w:tblCellMar>
        </w:tblPrEx>
        <w:trPr>
          <w:trHeight w:val="1832" w:hRule="exact"/>
        </w:trPr>
        <w:tc>
          <w:tcPr>
            <w:tcW w:w="1566" w:type="dxa"/>
            <w:tcBorders>
              <w:bottom w:val="single" w:color="BFBFBF" w:sz="4" w:space="0"/>
            </w:tcBorders>
            <w:vAlign w:val="center"/>
          </w:tcPr>
          <w:p>
            <w:pPr>
              <w:jc w:val="center"/>
              <w:rPr>
                <w:rFonts w:ascii="微软雅黑" w:hAnsi="微软雅黑" w:eastAsia="微软雅黑" w:cs="微软雅黑"/>
                <w:i/>
                <w:color w:val="262626"/>
                <w:sz w:val="15"/>
                <w:szCs w:val="15"/>
              </w:rPr>
            </w:pPr>
            <w:r>
              <w:rPr>
                <w:rFonts w:hint="eastAsia" w:ascii="微软雅黑" w:hAnsi="微软雅黑" w:eastAsia="微软雅黑" w:cs="微软雅黑"/>
                <w:i/>
                <w:color w:val="262626"/>
                <w:sz w:val="15"/>
                <w:szCs w:val="15"/>
              </w:rPr>
              <w:t>ALK</w:t>
            </w:r>
          </w:p>
        </w:tc>
        <w:tc>
          <w:tcPr>
            <w:tcW w:w="7953" w:type="dxa"/>
            <w:vAlign w:val="center"/>
          </w:tcPr>
          <w:p>
            <w:pPr>
              <w:jc w:val="both"/>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ALK编码胰岛素受体超家族的成员，ALK最早是在间变性大细胞淋巴瘤（ALCL）的一个亚型中被发现，因此定名为间变性淋巴瘤激酶（anaplasticlymphoma kinase，ALK）。ALK基因突变将导致肿瘤的形成。在肺癌中EML4-ALK是最常见的ALK基因重排方式，相关研究已经证明EML4-ALK通过丝裂原活化蛋白激酶-分裂原活化蛋白激酶-细胞外调节蛋白激酶、磷脂酰肌醇3-激酶-蛋白激酶B和Ras信号传导及转录激活因子,这3条信号通路促进肿瘤细胞的增殖、分化、抗凋亡。</w:t>
            </w:r>
          </w:p>
        </w:tc>
      </w:tr>
      <w:tr>
        <w:tblPrEx>
          <w:tblLayout w:type="fixed"/>
          <w:tblCellMar>
            <w:top w:w="0" w:type="dxa"/>
            <w:left w:w="108" w:type="dxa"/>
            <w:bottom w:w="0" w:type="dxa"/>
            <w:right w:w="108" w:type="dxa"/>
          </w:tblCellMar>
        </w:tblPrEx>
        <w:trPr>
          <w:trHeight w:val="1728" w:hRule="exact"/>
        </w:trPr>
        <w:tc>
          <w:tcPr>
            <w:tcW w:w="1566" w:type="dxa"/>
            <w:tcBorders>
              <w:top w:val="single" w:color="BFBFBF" w:sz="4" w:space="0"/>
              <w:bottom w:val="single" w:color="BFBFBF" w:sz="4" w:space="0"/>
            </w:tcBorders>
            <w:shd w:val="clear" w:color="auto" w:fill="D9D9D9"/>
            <w:vAlign w:val="center"/>
          </w:tcPr>
          <w:p>
            <w:pPr>
              <w:jc w:val="center"/>
              <w:rPr>
                <w:rFonts w:ascii="微软雅黑" w:hAnsi="微软雅黑" w:eastAsia="微软雅黑" w:cs="微软雅黑"/>
                <w:color w:val="262626"/>
                <w:sz w:val="15"/>
                <w:szCs w:val="15"/>
              </w:rPr>
            </w:pPr>
            <w:r>
              <w:rPr>
                <w:rFonts w:hint="eastAsia" w:ascii="微软雅黑" w:hAnsi="微软雅黑" w:eastAsia="微软雅黑" w:cs="微软雅黑"/>
                <w:i/>
                <w:color w:val="262626"/>
                <w:sz w:val="15"/>
                <w:szCs w:val="15"/>
              </w:rPr>
              <w:t>BRAF</w:t>
            </w:r>
          </w:p>
        </w:tc>
        <w:tc>
          <w:tcPr>
            <w:tcW w:w="7953" w:type="dxa"/>
            <w:tcBorders>
              <w:top w:val="single" w:color="BFBFBF" w:sz="4" w:space="0"/>
              <w:bottom w:val="single" w:color="BFBFBF" w:sz="4" w:space="0"/>
            </w:tcBorders>
            <w:vAlign w:val="center"/>
          </w:tcPr>
          <w:p>
            <w:pPr>
              <w:jc w:val="both"/>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BRAF（v-Raf小鼠肉瘤病毒致癌基因同源基因B）是原癌基因，属于RAF/mil家族成员。BRAF基因是EGFR信号通路KRAS下游的一个基因，编码MAPK通路中的丝氨酸/苏氨酸蛋白激酶。该酶将信号从RAS转导至MEK1/2，从而参与调控细胞内多种生物学过程。研究表明，BRAF在NSCLC、甲状腺癌、结直肠癌、膀胱癌等均存在不同比例的突变。这些突变主要发生于外显子15上的激活区，其中约92%位于第1799位核苷酸上（T突变为A），导致其编码的谷氨酸由结氨酸取代（V600E）。该突变可导致KRAS野生型肿瘤患者对抗体类药物如西妥昔单抗产生耐药性。</w:t>
            </w:r>
          </w:p>
        </w:tc>
      </w:tr>
      <w:tr>
        <w:tblPrEx>
          <w:tblLayout w:type="fixed"/>
          <w:tblCellMar>
            <w:top w:w="0" w:type="dxa"/>
            <w:left w:w="108" w:type="dxa"/>
            <w:bottom w:w="0" w:type="dxa"/>
            <w:right w:w="108" w:type="dxa"/>
          </w:tblCellMar>
        </w:tblPrEx>
        <w:trPr>
          <w:trHeight w:val="1848" w:hRule="exact"/>
        </w:trPr>
        <w:tc>
          <w:tcPr>
            <w:tcW w:w="1566" w:type="dxa"/>
            <w:tcBorders>
              <w:top w:val="single" w:color="BFBFBF" w:sz="4" w:space="0"/>
              <w:bottom w:val="single" w:color="BFBFBF" w:sz="4" w:space="0"/>
            </w:tcBorders>
            <w:vAlign w:val="center"/>
          </w:tcPr>
          <w:p>
            <w:pPr>
              <w:jc w:val="center"/>
              <w:rPr>
                <w:rFonts w:ascii="微软雅黑" w:hAnsi="微软雅黑" w:eastAsia="微软雅黑" w:cs="微软雅黑"/>
                <w:i/>
                <w:iCs/>
                <w:color w:val="262626"/>
                <w:sz w:val="15"/>
                <w:szCs w:val="15"/>
              </w:rPr>
            </w:pPr>
            <w:r>
              <w:rPr>
                <w:rFonts w:hint="eastAsia" w:ascii="微软雅黑" w:hAnsi="微软雅黑" w:eastAsia="微软雅黑" w:cs="微软雅黑"/>
                <w:i/>
                <w:iCs/>
                <w:color w:val="000000"/>
                <w:sz w:val="15"/>
                <w:szCs w:val="15"/>
              </w:rPr>
              <w:t>CCND1</w:t>
            </w:r>
          </w:p>
        </w:tc>
        <w:tc>
          <w:tcPr>
            <w:tcW w:w="7953" w:type="dxa"/>
            <w:tcBorders>
              <w:top w:val="single" w:color="BFBFBF" w:sz="4" w:space="0"/>
              <w:bottom w:val="single" w:color="BFBFBF" w:sz="4" w:space="0"/>
            </w:tcBorders>
            <w:vAlign w:val="center"/>
          </w:tcPr>
          <w:p>
            <w:pPr>
              <w:jc w:val="both"/>
              <w:rPr>
                <w:rFonts w:ascii="微软雅黑" w:hAnsi="微软雅黑" w:eastAsia="微软雅黑" w:cs="微软雅黑"/>
                <w:color w:val="000000"/>
                <w:sz w:val="15"/>
                <w:szCs w:val="15"/>
              </w:rPr>
            </w:pPr>
            <w:r>
              <w:rPr>
                <w:rFonts w:hint="eastAsia" w:ascii="微软雅黑" w:hAnsi="微软雅黑" w:eastAsia="微软雅黑" w:cs="微软雅黑"/>
                <w:color w:val="262626"/>
                <w:sz w:val="15"/>
                <w:szCs w:val="15"/>
              </w:rPr>
              <w:t>CCND1基因编码细胞周期蛋白D1,，该蛋白与CDK4结合后与视网膜母细胞瘤编码蛋白结合使其磷酸化，从而驱动细胞由G1期进入S期，促进细胞增殖。该蛋白仅出现在G0和G1早期，进入S期前降解，同时作为G1/S调控监测点的重要调节蛋白，过表达引发细胞周期检查点失调，使细胞异常增殖引发癌症。该基因在第4号外显子最后一个碱基存在G870A多态性，产生两种不同的带有正常功能的细胞周期蛋白，其中AA基因型表达的蛋白半衰期更长，使细胞异常增殖，影响肿瘤的易感性。</w:t>
            </w:r>
          </w:p>
        </w:tc>
      </w:tr>
      <w:tr>
        <w:tblPrEx>
          <w:tblLayout w:type="fixed"/>
          <w:tblCellMar>
            <w:top w:w="0" w:type="dxa"/>
            <w:left w:w="108" w:type="dxa"/>
            <w:bottom w:w="0" w:type="dxa"/>
            <w:right w:w="108" w:type="dxa"/>
          </w:tblCellMar>
        </w:tblPrEx>
        <w:trPr>
          <w:trHeight w:val="1995" w:hRule="exact"/>
        </w:trPr>
        <w:tc>
          <w:tcPr>
            <w:tcW w:w="1566" w:type="dxa"/>
            <w:tcBorders>
              <w:top w:val="single" w:color="BFBFBF" w:sz="4" w:space="0"/>
              <w:bottom w:val="single" w:color="BFBFBF" w:sz="4" w:space="0"/>
            </w:tcBorders>
            <w:shd w:val="clear" w:color="auto" w:fill="D9D9D9"/>
            <w:vAlign w:val="center"/>
          </w:tcPr>
          <w:p>
            <w:pPr>
              <w:jc w:val="center"/>
              <w:rPr>
                <w:rFonts w:ascii="微软雅黑" w:hAnsi="微软雅黑" w:eastAsia="微软雅黑" w:cs="微软雅黑"/>
                <w:i/>
                <w:iCs/>
                <w:color w:val="262626"/>
                <w:sz w:val="15"/>
                <w:szCs w:val="15"/>
              </w:rPr>
            </w:pPr>
            <w:r>
              <w:rPr>
                <w:rFonts w:hint="eastAsia" w:ascii="微软雅黑" w:hAnsi="微软雅黑" w:eastAsia="微软雅黑" w:cs="微软雅黑"/>
                <w:i/>
                <w:iCs/>
                <w:color w:val="262626"/>
                <w:sz w:val="15"/>
                <w:szCs w:val="15"/>
              </w:rPr>
              <w:t>EGFR</w:t>
            </w:r>
          </w:p>
        </w:tc>
        <w:tc>
          <w:tcPr>
            <w:tcW w:w="7953" w:type="dxa"/>
            <w:tcBorders>
              <w:top w:val="single" w:color="BFBFBF" w:sz="4" w:space="0"/>
              <w:bottom w:val="single" w:color="BFBFBF" w:sz="4" w:space="0"/>
            </w:tcBorders>
            <w:vAlign w:val="center"/>
          </w:tcPr>
          <w:p>
            <w:pPr>
              <w:jc w:val="both"/>
              <w:rPr>
                <w:rFonts w:ascii="微软雅黑" w:hAnsi="微软雅黑" w:eastAsia="微软雅黑" w:cs="微软雅黑"/>
                <w:color w:val="000000"/>
                <w:sz w:val="15"/>
                <w:szCs w:val="15"/>
              </w:rPr>
            </w:pPr>
            <w:r>
              <w:rPr>
                <w:rFonts w:hint="eastAsia" w:ascii="微软雅黑" w:hAnsi="微软雅黑" w:eastAsia="微软雅黑" w:cs="微软雅黑"/>
                <w:color w:val="262626"/>
                <w:sz w:val="15"/>
                <w:szCs w:val="15"/>
              </w:rPr>
              <w:t>EGFR是膜受体酪氨酸激酶家族成员之一，当EGFR被配体激活，形成二聚体而激活酪氨酸激酶，引起细胞内多种信号通路的级联激活反应，调节相关重要基因表达，从而影响细胞的增殖、迁移、分化以及凋亡。EGFR下游的信号转导通路主要有Ras/Raf/MEK/ERLK/MAPK通路，PI3K/PDK1/Akt通路等。临床研究结果已经证实，EGFR及其信号通路的关键组分在肿瘤细胞中发生异常表达或突变，将导致肿瘤细胞的增殖和转移。因此，针对EGFR及其信号通路的靶标检测和靶向药物治疗已成为肿瘤个体化诊疗的重要手段。NCCN指南推荐对晚期NSCLC患者进行EGFR基因检测。</w:t>
            </w:r>
          </w:p>
        </w:tc>
      </w:tr>
      <w:tr>
        <w:tblPrEx>
          <w:tblLayout w:type="fixed"/>
          <w:tblCellMar>
            <w:top w:w="0" w:type="dxa"/>
            <w:left w:w="108" w:type="dxa"/>
            <w:bottom w:w="0" w:type="dxa"/>
            <w:right w:w="108" w:type="dxa"/>
          </w:tblCellMar>
        </w:tblPrEx>
        <w:trPr>
          <w:trHeight w:val="1838" w:hRule="exact"/>
        </w:trPr>
        <w:tc>
          <w:tcPr>
            <w:tcW w:w="1566" w:type="dxa"/>
            <w:tcBorders>
              <w:top w:val="single" w:color="BFBFBF" w:sz="4" w:space="0"/>
              <w:bottom w:val="single" w:color="BFBFBF" w:sz="4" w:space="0"/>
            </w:tcBorders>
            <w:vAlign w:val="center"/>
          </w:tcPr>
          <w:p>
            <w:pPr>
              <w:jc w:val="center"/>
              <w:rPr>
                <w:rFonts w:ascii="微软雅黑" w:hAnsi="微软雅黑" w:eastAsia="微软雅黑" w:cs="微软雅黑"/>
                <w:i/>
                <w:iCs/>
                <w:color w:val="262626"/>
                <w:sz w:val="15"/>
                <w:szCs w:val="15"/>
              </w:rPr>
            </w:pPr>
            <w:r>
              <w:rPr>
                <w:rFonts w:hint="eastAsia" w:ascii="微软雅黑" w:hAnsi="微软雅黑" w:eastAsia="微软雅黑" w:cs="微软雅黑"/>
                <w:iCs/>
                <w:color w:val="262626"/>
                <w:sz w:val="15"/>
                <w:szCs w:val="15"/>
              </w:rPr>
              <w:t>HER2</w:t>
            </w:r>
          </w:p>
          <w:p>
            <w:pPr>
              <w:jc w:val="center"/>
              <w:rPr>
                <w:rFonts w:ascii="微软雅黑" w:hAnsi="微软雅黑" w:eastAsia="微软雅黑" w:cs="微软雅黑"/>
                <w:color w:val="262626"/>
                <w:sz w:val="15"/>
                <w:szCs w:val="15"/>
              </w:rPr>
            </w:pPr>
            <w:r>
              <w:rPr>
                <w:rFonts w:hint="eastAsia" w:ascii="微软雅黑" w:hAnsi="微软雅黑" w:eastAsia="微软雅黑" w:cs="微软雅黑"/>
                <w:iCs/>
                <w:color w:val="262626"/>
                <w:sz w:val="15"/>
                <w:szCs w:val="15"/>
              </w:rPr>
              <w:t>（</w:t>
            </w:r>
            <w:r>
              <w:rPr>
                <w:rFonts w:hint="eastAsia" w:ascii="微软雅黑" w:hAnsi="微软雅黑" w:eastAsia="微软雅黑" w:cs="微软雅黑"/>
                <w:i/>
                <w:iCs/>
                <w:color w:val="262626"/>
                <w:sz w:val="15"/>
                <w:szCs w:val="15"/>
              </w:rPr>
              <w:t>ERBB2</w:t>
            </w:r>
            <w:r>
              <w:rPr>
                <w:rFonts w:hint="eastAsia" w:ascii="微软雅黑" w:hAnsi="微软雅黑" w:eastAsia="微软雅黑" w:cs="微软雅黑"/>
                <w:iCs/>
                <w:color w:val="262626"/>
                <w:sz w:val="15"/>
                <w:szCs w:val="15"/>
              </w:rPr>
              <w:t>）</w:t>
            </w:r>
          </w:p>
        </w:tc>
        <w:tc>
          <w:tcPr>
            <w:tcW w:w="7953" w:type="dxa"/>
            <w:tcBorders>
              <w:top w:val="single" w:color="BFBFBF" w:sz="4" w:space="0"/>
              <w:bottom w:val="single" w:color="BFBFBF" w:sz="4" w:space="0"/>
            </w:tcBorders>
            <w:vAlign w:val="center"/>
          </w:tcPr>
          <w:p>
            <w:pPr>
              <w:jc w:val="both"/>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HER2属于ErbB酪氨酸激酶受体家族成员之一，没有已知的配体，但能与ErbB家族的其他结合了配体的受体形成异源二聚体被激活（通常是与EGFR形成异源二聚体），而且EGFR与HER2结合形成异源二聚体比EGFR同源二聚体的活性更强。该受体调控的下游信号通路包括RAS-RAF-MEK-ERK/MAPK信号通路以及PI3K-AKT-mTOR信号通路，进而调控细胞的增殖、分化与迁移。在NSCLC患者中，通过FISH检测发现HER2扩增的发生率为2%-4%（在肺腺癌中更多一些），通过免疫组化检测发现HER2过表达的发生率为13%-20%。</w:t>
            </w:r>
          </w:p>
        </w:tc>
      </w:tr>
      <w:tr>
        <w:tblPrEx>
          <w:tblLayout w:type="fixed"/>
          <w:tblCellMar>
            <w:top w:w="0" w:type="dxa"/>
            <w:left w:w="108" w:type="dxa"/>
            <w:bottom w:w="0" w:type="dxa"/>
            <w:right w:w="108" w:type="dxa"/>
          </w:tblCellMar>
        </w:tblPrEx>
        <w:trPr>
          <w:trHeight w:val="1708" w:hRule="exact"/>
        </w:trPr>
        <w:tc>
          <w:tcPr>
            <w:tcW w:w="1566" w:type="dxa"/>
            <w:tcBorders>
              <w:top w:val="single" w:color="BFBFBF" w:sz="4" w:space="0"/>
              <w:bottom w:val="single" w:color="BFBFBF" w:sz="4" w:space="0"/>
            </w:tcBorders>
            <w:shd w:val="clear" w:color="auto" w:fill="D9D9D9"/>
            <w:vAlign w:val="center"/>
          </w:tcPr>
          <w:p>
            <w:pPr>
              <w:jc w:val="center"/>
              <w:rPr>
                <w:rFonts w:ascii="微软雅黑" w:hAnsi="微软雅黑" w:eastAsia="微软雅黑" w:cs="微软雅黑"/>
                <w:i/>
                <w:iCs/>
                <w:color w:val="000000"/>
                <w:sz w:val="15"/>
                <w:szCs w:val="15"/>
              </w:rPr>
            </w:pPr>
            <w:r>
              <w:rPr>
                <w:rFonts w:hint="eastAsia" w:ascii="微软雅黑" w:hAnsi="微软雅黑" w:eastAsia="微软雅黑" w:cs="微软雅黑"/>
                <w:i/>
                <w:iCs/>
                <w:color w:val="000000"/>
                <w:sz w:val="15"/>
                <w:szCs w:val="15"/>
              </w:rPr>
              <w:t>ERCC1</w:t>
            </w:r>
          </w:p>
        </w:tc>
        <w:tc>
          <w:tcPr>
            <w:tcW w:w="7953" w:type="dxa"/>
            <w:tcBorders>
              <w:top w:val="single" w:color="BFBFBF" w:sz="4" w:space="0"/>
              <w:bottom w:val="single" w:color="BFBFBF" w:sz="4" w:space="0"/>
            </w:tcBorders>
            <w:vAlign w:val="center"/>
          </w:tcPr>
          <w:p>
            <w:pPr>
              <w:jc w:val="both"/>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ERCC1指切除修复内切酶非催化亚基，是一种高度保守的DNA核酸内切酶，是NER途径的限速酶。ERCC1基因的表达产物与DNA修复酶缺乏互补基因F（XPF）形成紧密的异二聚体（ERCC1-XPF）,该二聚体具有识别损伤和5′端切除的双重作用,在NER中起到限速或调节的重要作用。对卵巢癌、宫颈癌、睾丸癌、膀胱癌及非小细胞肺癌等的研究表明ERCC1的表达与顺铂耐受性相关。抑制ERCC1的表达可克服顺铂类药物的耐药性，提高治疗效果。</w:t>
            </w:r>
          </w:p>
        </w:tc>
      </w:tr>
      <w:tr>
        <w:tblPrEx>
          <w:tblLayout w:type="fixed"/>
          <w:tblCellMar>
            <w:top w:w="0" w:type="dxa"/>
            <w:left w:w="108" w:type="dxa"/>
            <w:bottom w:w="0" w:type="dxa"/>
            <w:right w:w="108" w:type="dxa"/>
          </w:tblCellMar>
        </w:tblPrEx>
        <w:trPr>
          <w:trHeight w:val="1930" w:hRule="exact"/>
        </w:trPr>
        <w:tc>
          <w:tcPr>
            <w:tcW w:w="1566" w:type="dxa"/>
            <w:tcBorders>
              <w:top w:val="single" w:color="BFBFBF" w:sz="4" w:space="0"/>
              <w:bottom w:val="single" w:color="BFBFBF" w:sz="4" w:space="0"/>
            </w:tcBorders>
            <w:vAlign w:val="center"/>
          </w:tcPr>
          <w:p>
            <w:pPr>
              <w:jc w:val="center"/>
              <w:rPr>
                <w:rFonts w:ascii="微软雅黑" w:hAnsi="微软雅黑" w:eastAsia="微软雅黑" w:cs="微软雅黑"/>
                <w:i/>
                <w:iCs/>
                <w:color w:val="000000"/>
                <w:sz w:val="15"/>
                <w:szCs w:val="15"/>
              </w:rPr>
            </w:pPr>
            <w:r>
              <w:rPr>
                <w:rFonts w:hint="eastAsia" w:ascii="微软雅黑" w:hAnsi="微软雅黑" w:eastAsia="微软雅黑" w:cs="微软雅黑"/>
                <w:i/>
                <w:iCs/>
                <w:color w:val="000000"/>
                <w:sz w:val="15"/>
                <w:szCs w:val="15"/>
              </w:rPr>
              <w:t>FLT1（VEGFR1）</w:t>
            </w:r>
          </w:p>
        </w:tc>
        <w:tc>
          <w:tcPr>
            <w:tcW w:w="7953" w:type="dxa"/>
            <w:tcBorders>
              <w:top w:val="single" w:color="BFBFBF" w:sz="4" w:space="0"/>
              <w:bottom w:val="single" w:color="BFBFBF" w:sz="4" w:space="0"/>
            </w:tcBorders>
            <w:vAlign w:val="center"/>
          </w:tcPr>
          <w:p>
            <w:pPr>
              <w:jc w:val="both"/>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FLT1致癌基因属于src基因家族，与致癌基因ROS相关。该基因编码VEGFR1（血管内皮细胞生长因子受体1），VEGFR是受体酪氨酸激酶（rtk）家族成员，包含一个胞外配体结合区，七个免疫球蛋白（Ig）类似结构域，跨膜段和胞质酪氨酸激酶（TK）结构域。该蛋白在许多生理病理过程中发挥重要作用，如肿瘤恶化、糖尿病视网膜病变、风湿性关节炎和伤口愈合。可结合VEGFRA、VEGFRB和胎盘生长因子，在血管新生和血管形成中发挥重要作用，该基因在血管内皮细胞、胎盘滋养层细胞和外周血单核细胞中均有表达。</w:t>
            </w:r>
          </w:p>
        </w:tc>
      </w:tr>
      <w:tr>
        <w:tblPrEx>
          <w:tblLayout w:type="fixed"/>
          <w:tblCellMar>
            <w:top w:w="0" w:type="dxa"/>
            <w:left w:w="108" w:type="dxa"/>
            <w:bottom w:w="0" w:type="dxa"/>
            <w:right w:w="108" w:type="dxa"/>
          </w:tblCellMar>
        </w:tblPrEx>
        <w:trPr>
          <w:trHeight w:val="1335" w:hRule="exact"/>
        </w:trPr>
        <w:tc>
          <w:tcPr>
            <w:tcW w:w="1566" w:type="dxa"/>
            <w:tcBorders>
              <w:top w:val="single" w:color="BFBFBF" w:sz="4" w:space="0"/>
              <w:bottom w:val="single" w:color="BFBFBF" w:sz="4" w:space="0"/>
            </w:tcBorders>
            <w:shd w:val="clear" w:color="auto" w:fill="D9D9D9"/>
            <w:vAlign w:val="center"/>
          </w:tcPr>
          <w:p>
            <w:pPr>
              <w:jc w:val="center"/>
              <w:rPr>
                <w:rFonts w:ascii="微软雅黑" w:hAnsi="微软雅黑" w:eastAsia="微软雅黑" w:cs="微软雅黑"/>
                <w:i/>
                <w:iCs/>
                <w:color w:val="262626"/>
                <w:sz w:val="15"/>
                <w:szCs w:val="15"/>
              </w:rPr>
            </w:pPr>
            <w:r>
              <w:rPr>
                <w:rFonts w:hint="eastAsia" w:ascii="微软雅黑" w:hAnsi="微软雅黑" w:eastAsia="微软雅黑" w:cs="微软雅黑"/>
                <w:i/>
                <w:iCs/>
                <w:color w:val="000000"/>
                <w:sz w:val="15"/>
                <w:szCs w:val="15"/>
              </w:rPr>
              <w:t>FGFR3</w:t>
            </w:r>
          </w:p>
        </w:tc>
        <w:tc>
          <w:tcPr>
            <w:tcW w:w="7953" w:type="dxa"/>
            <w:tcBorders>
              <w:top w:val="single" w:color="BFBFBF" w:sz="4" w:space="0"/>
              <w:bottom w:val="single" w:color="BFBFBF" w:sz="4" w:space="0"/>
            </w:tcBorders>
            <w:vAlign w:val="center"/>
          </w:tcPr>
          <w:p>
            <w:pPr>
              <w:jc w:val="both"/>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FGFR3指成纤维细胞生长因子受体基因3，是一种跨膜的酪氨酸激酶受体。与FGFR1和FGFR2有相似的结构和功能。FGFR3基因也可产生不同亚型，在不同的组织中与不同的生长因子结合。研究发现在骨细胞中的FGFR3蛋白通过抑制骨化作用调节骨骼生长。该基因的另一个亚型存在于上皮细胞表面，参与形成最外层的表皮细胞。</w:t>
            </w:r>
          </w:p>
        </w:tc>
      </w:tr>
      <w:tr>
        <w:tblPrEx>
          <w:tblLayout w:type="fixed"/>
          <w:tblCellMar>
            <w:top w:w="0" w:type="dxa"/>
            <w:left w:w="108" w:type="dxa"/>
            <w:bottom w:w="0" w:type="dxa"/>
            <w:right w:w="108" w:type="dxa"/>
          </w:tblCellMar>
        </w:tblPrEx>
        <w:trPr>
          <w:trHeight w:val="1567" w:hRule="exact"/>
        </w:trPr>
        <w:tc>
          <w:tcPr>
            <w:tcW w:w="1566" w:type="dxa"/>
            <w:tcBorders>
              <w:top w:val="single" w:color="BFBFBF" w:sz="4" w:space="0"/>
              <w:bottom w:val="single" w:color="BFBFBF" w:sz="4" w:space="0"/>
            </w:tcBorders>
            <w:shd w:val="clear" w:color="auto" w:fill="auto"/>
            <w:vAlign w:val="center"/>
          </w:tcPr>
          <w:p>
            <w:pPr>
              <w:jc w:val="center"/>
              <w:rPr>
                <w:rFonts w:ascii="微软雅黑" w:hAnsi="微软雅黑" w:eastAsia="微软雅黑" w:cs="微软雅黑"/>
                <w:color w:val="262626"/>
                <w:sz w:val="15"/>
                <w:szCs w:val="15"/>
              </w:rPr>
            </w:pPr>
            <w:r>
              <w:rPr>
                <w:rFonts w:hint="eastAsia" w:ascii="微软雅黑" w:hAnsi="微软雅黑" w:eastAsia="微软雅黑" w:cs="微软雅黑"/>
                <w:i/>
                <w:iCs/>
                <w:color w:val="000000"/>
                <w:sz w:val="15"/>
                <w:szCs w:val="15"/>
              </w:rPr>
              <w:t>KDR(VEGFR/VEGFR2)</w:t>
            </w:r>
          </w:p>
        </w:tc>
        <w:tc>
          <w:tcPr>
            <w:tcW w:w="7953" w:type="dxa"/>
            <w:tcBorders>
              <w:top w:val="single" w:color="BFBFBF" w:sz="4" w:space="0"/>
              <w:bottom w:val="single" w:color="BFBFBF" w:sz="4" w:space="0"/>
            </w:tcBorders>
            <w:vAlign w:val="center"/>
          </w:tcPr>
          <w:p>
            <w:pPr>
              <w:jc w:val="both"/>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KDR即激酶插入域受体，是VEGF的三种受体之一，主要介导内皮细胞的增殖，导致血管通透性增高，阻止血管内皮细胞凋亡，与胚胎期内皮细胞的分化有关，是VEGF发挥促血管生成作用的主要功能性受体，具有明显趋化性和促分裂活性，也参与肿瘤血管生成。VEGF和KDR的表达与肿瘤分化程度和微血管密度密切相关。该基因突变可干扰内皮细胞分化，阻止新生血管形成，使8-9d的胚胎死亡。一些针对VEGF和KDR的血管生成抑制剂的药物已有研究。</w:t>
            </w:r>
          </w:p>
        </w:tc>
      </w:tr>
      <w:tr>
        <w:tblPrEx>
          <w:tblLayout w:type="fixed"/>
          <w:tblCellMar>
            <w:top w:w="0" w:type="dxa"/>
            <w:left w:w="108" w:type="dxa"/>
            <w:bottom w:w="0" w:type="dxa"/>
            <w:right w:w="108" w:type="dxa"/>
          </w:tblCellMar>
        </w:tblPrEx>
        <w:trPr>
          <w:trHeight w:val="2114" w:hRule="exact"/>
        </w:trPr>
        <w:tc>
          <w:tcPr>
            <w:tcW w:w="1566" w:type="dxa"/>
            <w:tcBorders>
              <w:top w:val="single" w:color="BFBFBF" w:sz="4" w:space="0"/>
              <w:bottom w:val="single" w:color="BFBFBF" w:sz="4" w:space="0"/>
            </w:tcBorders>
            <w:shd w:val="clear" w:color="auto" w:fill="D8D8D8" w:themeFill="background1" w:themeFillShade="D9"/>
            <w:vAlign w:val="center"/>
          </w:tcPr>
          <w:p>
            <w:pPr>
              <w:jc w:val="center"/>
              <w:rPr>
                <w:rFonts w:ascii="微软雅黑" w:hAnsi="微软雅黑" w:eastAsia="微软雅黑" w:cs="微软雅黑"/>
                <w:i/>
                <w:iCs/>
                <w:color w:val="262626"/>
                <w:sz w:val="15"/>
                <w:szCs w:val="15"/>
              </w:rPr>
            </w:pPr>
            <w:r>
              <w:rPr>
                <w:rFonts w:hint="eastAsia" w:ascii="微软雅黑" w:hAnsi="微软雅黑" w:eastAsia="微软雅黑" w:cs="微软雅黑"/>
                <w:i/>
                <w:iCs/>
                <w:color w:val="000000"/>
                <w:sz w:val="15"/>
                <w:szCs w:val="15"/>
              </w:rPr>
              <w:t>KRAS</w:t>
            </w:r>
          </w:p>
        </w:tc>
        <w:tc>
          <w:tcPr>
            <w:tcW w:w="7953" w:type="dxa"/>
            <w:tcBorders>
              <w:top w:val="single" w:color="BFBFBF" w:sz="4" w:space="0"/>
              <w:bottom w:val="single" w:color="BFBFBF" w:sz="4" w:space="0"/>
            </w:tcBorders>
            <w:vAlign w:val="center"/>
          </w:tcPr>
          <w:p>
            <w:pPr>
              <w:jc w:val="both"/>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KRAS是鼠克里斯汀肉瘤病毒致癌基因同源基因，属于ras致癌基因家族成员，该家族还包括HRAS和NRAS基因，KRAS是ras家族成员中对癌症影响最大的基因。当细胞受到外界刺激后激活EGFR等信号通路时，野生型的K-Ras被酪氨酸激酶磷酸化后短暂活化，激活该信号通路中的下游因子，而后K-Ras迅速失活。突变型K-Ras蛋白导致蛋白功能异常，在无EGFR活化信号刺激下仍处于激活状态，细胞增殖失控而癌变。K-ras基因突变发生在肿瘤恶变的早期，并且原发灶和转移灶的K-ras基因高度保持一致。KRAS基因突变占非小细胞肺癌（NSCLC）总数的20-30%，其中肺腺癌占30%～50%，肺鳞癌中不常见。KRAS基因突变主要发生在2/3/4号外显子上。</w:t>
            </w:r>
          </w:p>
        </w:tc>
      </w:tr>
      <w:tr>
        <w:tblPrEx>
          <w:tblLayout w:type="fixed"/>
          <w:tblCellMar>
            <w:top w:w="0" w:type="dxa"/>
            <w:left w:w="108" w:type="dxa"/>
            <w:bottom w:w="0" w:type="dxa"/>
            <w:right w:w="108" w:type="dxa"/>
          </w:tblCellMar>
        </w:tblPrEx>
        <w:trPr>
          <w:trHeight w:val="1559" w:hRule="exact"/>
        </w:trPr>
        <w:tc>
          <w:tcPr>
            <w:tcW w:w="1566" w:type="dxa"/>
            <w:tcBorders>
              <w:top w:val="single" w:color="BFBFBF" w:sz="4" w:space="0"/>
              <w:bottom w:val="single" w:color="BFBFBF" w:sz="4" w:space="0"/>
            </w:tcBorders>
            <w:shd w:val="clear" w:color="auto" w:fill="FFFFFF" w:themeFill="background1"/>
            <w:vAlign w:val="center"/>
          </w:tcPr>
          <w:p>
            <w:pPr>
              <w:jc w:val="center"/>
              <w:rPr>
                <w:rFonts w:ascii="微软雅黑" w:hAnsi="微软雅黑" w:eastAsia="微软雅黑" w:cs="微软雅黑"/>
                <w:i/>
                <w:iCs/>
                <w:color w:val="000000"/>
                <w:sz w:val="15"/>
                <w:szCs w:val="15"/>
              </w:rPr>
            </w:pPr>
            <w:r>
              <w:rPr>
                <w:rFonts w:hint="eastAsia" w:ascii="微软雅黑" w:hAnsi="微软雅黑" w:eastAsia="微软雅黑" w:cs="微软雅黑"/>
                <w:i/>
                <w:iCs/>
                <w:color w:val="000000"/>
                <w:sz w:val="15"/>
                <w:szCs w:val="15"/>
              </w:rPr>
              <w:t>MTOR</w:t>
            </w:r>
          </w:p>
        </w:tc>
        <w:tc>
          <w:tcPr>
            <w:tcW w:w="7953" w:type="dxa"/>
            <w:tcBorders>
              <w:top w:val="single" w:color="BFBFBF" w:sz="4" w:space="0"/>
              <w:bottom w:val="single" w:color="BFBFBF" w:sz="4" w:space="0"/>
            </w:tcBorders>
            <w:vAlign w:val="center"/>
          </w:tcPr>
          <w:p>
            <w:pPr>
              <w:jc w:val="both"/>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MTOR是雷帕霉素靶蛋白，属于丝氨酸/苏氨酸蛋白激酶，在调控蛋白质合成、感受营养信号、调节细胞生长与增殖中起关键性作用。MTOR主要参与PI3K/AKT/MTOR和Akt/ASC1-TSC2/MTOR/S6K两种信号通路调控细胞生长和增殖。许多肿瘤都伴有MTOR信号通路调控异常，是肿瘤治疗的一个重要靶点。雷帕霉素及其类似物是MTOR特异抑制剂，可与KFBP12形成复合物与MTOR结合起到抑制作用。</w:t>
            </w:r>
          </w:p>
        </w:tc>
      </w:tr>
      <w:tr>
        <w:tblPrEx>
          <w:tblLayout w:type="fixed"/>
          <w:tblCellMar>
            <w:top w:w="0" w:type="dxa"/>
            <w:left w:w="108" w:type="dxa"/>
            <w:bottom w:w="0" w:type="dxa"/>
            <w:right w:w="108" w:type="dxa"/>
          </w:tblCellMar>
        </w:tblPrEx>
        <w:trPr>
          <w:trHeight w:val="1695" w:hRule="exact"/>
        </w:trPr>
        <w:tc>
          <w:tcPr>
            <w:tcW w:w="1566" w:type="dxa"/>
            <w:tcBorders>
              <w:top w:val="single" w:color="BFBFBF" w:sz="4" w:space="0"/>
              <w:bottom w:val="single" w:color="BFBFBF" w:sz="4" w:space="0"/>
            </w:tcBorders>
            <w:shd w:val="clear" w:color="auto" w:fill="D8D8D8" w:themeFill="background1" w:themeFillShade="D9"/>
            <w:vAlign w:val="center"/>
          </w:tcPr>
          <w:p>
            <w:pPr>
              <w:jc w:val="center"/>
              <w:rPr>
                <w:rFonts w:ascii="微软雅黑" w:hAnsi="微软雅黑" w:eastAsia="微软雅黑" w:cs="微软雅黑"/>
                <w:i/>
                <w:iCs/>
                <w:color w:val="000000"/>
                <w:sz w:val="15"/>
                <w:szCs w:val="15"/>
              </w:rPr>
            </w:pPr>
            <w:r>
              <w:rPr>
                <w:rFonts w:hint="eastAsia" w:ascii="微软雅黑" w:hAnsi="微软雅黑" w:eastAsia="微软雅黑" w:cs="微软雅黑"/>
                <w:i/>
                <w:iCs/>
                <w:color w:val="000000"/>
                <w:sz w:val="15"/>
                <w:szCs w:val="15"/>
              </w:rPr>
              <w:t>PDGFRB</w:t>
            </w:r>
          </w:p>
        </w:tc>
        <w:tc>
          <w:tcPr>
            <w:tcW w:w="7953" w:type="dxa"/>
            <w:tcBorders>
              <w:top w:val="single" w:color="BFBFBF" w:sz="4" w:space="0"/>
              <w:bottom w:val="single" w:color="BFBFBF" w:sz="4" w:space="0"/>
            </w:tcBorders>
            <w:vAlign w:val="center"/>
          </w:tcPr>
          <w:p>
            <w:pPr>
              <w:jc w:val="both"/>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PDGFRB是血小板衍生生长因子受体β基因，编码细胞表面酪氨酸激酶受体，属于血小板来源的生长因子家族。这些生长因子为间充质来源的细胞分裂素。属于III型酪氨酸激酶受体家族，共同的结构包括胞外区5个免疫球蛋白结构域、1个跨膜结构域，1个ATP结合位点和1个胞内亲水激酶插入域。该基因定位在5号染色体上，与集落刺激因子和巨噬细胞集落刺激因子受体基因相邻，这三个基因都与5q-综合症相关。</w:t>
            </w:r>
          </w:p>
        </w:tc>
      </w:tr>
      <w:tr>
        <w:tblPrEx>
          <w:tblLayout w:type="fixed"/>
          <w:tblCellMar>
            <w:top w:w="0" w:type="dxa"/>
            <w:left w:w="108" w:type="dxa"/>
            <w:bottom w:w="0" w:type="dxa"/>
            <w:right w:w="108" w:type="dxa"/>
          </w:tblCellMar>
        </w:tblPrEx>
        <w:trPr>
          <w:trHeight w:val="1998" w:hRule="exact"/>
        </w:trPr>
        <w:tc>
          <w:tcPr>
            <w:tcW w:w="1566" w:type="dxa"/>
            <w:tcBorders>
              <w:top w:val="single" w:color="BFBFBF" w:sz="4" w:space="0"/>
              <w:bottom w:val="single" w:color="BFBFBF" w:sz="4" w:space="0"/>
            </w:tcBorders>
            <w:shd w:val="clear" w:color="auto" w:fill="D8D8D8" w:themeFill="background1" w:themeFillShade="D9"/>
            <w:vAlign w:val="center"/>
          </w:tcPr>
          <w:p>
            <w:pPr>
              <w:jc w:val="center"/>
              <w:rPr>
                <w:rFonts w:ascii="微软雅黑" w:hAnsi="微软雅黑" w:eastAsia="微软雅黑" w:cs="微软雅黑"/>
                <w:i/>
                <w:iCs/>
                <w:color w:val="000000"/>
                <w:sz w:val="15"/>
                <w:szCs w:val="15"/>
              </w:rPr>
            </w:pPr>
            <w:r>
              <w:rPr>
                <w:rFonts w:hint="eastAsia" w:ascii="微软雅黑" w:hAnsi="微软雅黑" w:eastAsia="微软雅黑" w:cs="微软雅黑"/>
                <w:i/>
                <w:color w:val="262626"/>
                <w:sz w:val="15"/>
                <w:szCs w:val="15"/>
              </w:rPr>
              <w:t>PIK3CA</w:t>
            </w:r>
          </w:p>
        </w:tc>
        <w:tc>
          <w:tcPr>
            <w:tcW w:w="7953" w:type="dxa"/>
            <w:tcBorders>
              <w:top w:val="single" w:color="BFBFBF" w:sz="4" w:space="0"/>
              <w:bottom w:val="single" w:color="BFBFBF" w:sz="4" w:space="0"/>
            </w:tcBorders>
            <w:vAlign w:val="center"/>
          </w:tcPr>
          <w:p>
            <w:pPr>
              <w:jc w:val="both"/>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PIK3CA基因编码PIK3CA蛋白，属于磷脂酰肌醇-3激酶（PI3Ks）家族。PI3Ks家族参与多种信号通路，调节细胞功能。正常情况下，有其活化产生的类脂产物可作为第二信使结合并激活多种细胞内的靶蛋白，形成一个信号级联复合物，最终调节细胞的增殖、分化、存活和迁移等。在PI3Ks家族中的PI3K-Akt信号通路在人类肿瘤中失调，该通路某些成分的突变所导致的功能获得或缺失能够引起细胞转化。大量数据表明PIK3CA的突变热点集中在螺旋结构域上的E545K（9号外显子）和激酶结构域上的H1047R（20号外显子）上；这些突变能够导致PI3K的脂质激酶活性增强。</w:t>
            </w:r>
          </w:p>
        </w:tc>
      </w:tr>
      <w:tr>
        <w:tblPrEx>
          <w:tblLayout w:type="fixed"/>
          <w:tblCellMar>
            <w:top w:w="0" w:type="dxa"/>
            <w:left w:w="108" w:type="dxa"/>
            <w:bottom w:w="0" w:type="dxa"/>
            <w:right w:w="108" w:type="dxa"/>
          </w:tblCellMar>
        </w:tblPrEx>
        <w:trPr>
          <w:trHeight w:val="1838" w:hRule="exact"/>
        </w:trPr>
        <w:tc>
          <w:tcPr>
            <w:tcW w:w="1566" w:type="dxa"/>
            <w:tcBorders>
              <w:top w:val="single" w:color="BFBFBF" w:sz="4" w:space="0"/>
              <w:bottom w:val="single" w:color="BFBFBF" w:sz="4" w:space="0"/>
            </w:tcBorders>
            <w:shd w:val="clear" w:color="auto" w:fill="FFFFFF" w:themeFill="background1"/>
            <w:vAlign w:val="center"/>
          </w:tcPr>
          <w:p>
            <w:pPr>
              <w:jc w:val="center"/>
              <w:rPr>
                <w:rFonts w:ascii="微软雅黑" w:hAnsi="微软雅黑" w:eastAsia="微软雅黑" w:cs="微软雅黑"/>
                <w:i/>
                <w:color w:val="000000" w:themeColor="text1"/>
                <w:sz w:val="15"/>
                <w:szCs w:val="15"/>
                <w14:textFill>
                  <w14:solidFill>
                    <w14:schemeClr w14:val="tx1"/>
                  </w14:solidFill>
                </w14:textFill>
              </w:rPr>
            </w:pPr>
            <w:r>
              <w:rPr>
                <w:rFonts w:hint="eastAsia" w:ascii="微软雅黑" w:hAnsi="微软雅黑" w:eastAsia="微软雅黑" w:cs="微软雅黑"/>
                <w:i/>
                <w:color w:val="000000" w:themeColor="text1"/>
                <w:sz w:val="15"/>
                <w:szCs w:val="15"/>
                <w14:textFill>
                  <w14:solidFill>
                    <w14:schemeClr w14:val="tx1"/>
                  </w14:solidFill>
                </w14:textFill>
              </w:rPr>
              <w:t>RET</w:t>
            </w:r>
          </w:p>
        </w:tc>
        <w:tc>
          <w:tcPr>
            <w:tcW w:w="7953" w:type="dxa"/>
            <w:tcBorders>
              <w:top w:val="single" w:color="BFBFBF" w:sz="4" w:space="0"/>
              <w:bottom w:val="single" w:color="BFBFBF" w:sz="4" w:space="0"/>
            </w:tcBorders>
            <w:vAlign w:val="center"/>
          </w:tcPr>
          <w:p>
            <w:pPr>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RET基因编码一个包含两种亚型的单通道跨膜蛋白，分别是RET9和RET51，与人类多种肿瘤的发生密切相关，是一种重要的癌基因。RET相关肿瘤的发病机制主要是RET基因突变和野生型RET基因的异常表达。激活的RET蛋白通过多种信号通路参与不同肿瘤细胞的增殖、凋亡、侵袭，影响肿瘤的发生发展。RET融合在NSCLC中的发生率为1%~2%，融合的基因主要包括CCDC6-RET, NCOA4-RET, TRIM22-RET。RET融合是独立的致癌驱动基因，可作为肺癌治疗的靶点。</w:t>
            </w:r>
          </w:p>
        </w:tc>
      </w:tr>
      <w:tr>
        <w:tblPrEx>
          <w:tblLayout w:type="fixed"/>
          <w:tblCellMar>
            <w:top w:w="0" w:type="dxa"/>
            <w:left w:w="108" w:type="dxa"/>
            <w:bottom w:w="0" w:type="dxa"/>
            <w:right w:w="108" w:type="dxa"/>
          </w:tblCellMar>
        </w:tblPrEx>
        <w:trPr>
          <w:trHeight w:val="1836" w:hRule="exact"/>
        </w:trPr>
        <w:tc>
          <w:tcPr>
            <w:tcW w:w="1566" w:type="dxa"/>
            <w:tcBorders>
              <w:top w:val="single" w:color="BFBFBF" w:sz="4" w:space="0"/>
              <w:bottom w:val="single" w:color="BFBFBF" w:sz="4" w:space="0"/>
            </w:tcBorders>
            <w:shd w:val="clear" w:color="auto" w:fill="D8D8D8" w:themeFill="background1" w:themeFillShade="D9"/>
            <w:vAlign w:val="center"/>
          </w:tcPr>
          <w:p>
            <w:pPr>
              <w:jc w:val="center"/>
              <w:rPr>
                <w:rFonts w:ascii="微软雅黑" w:hAnsi="微软雅黑" w:eastAsia="微软雅黑" w:cs="微软雅黑"/>
                <w:i/>
                <w:color w:val="262626"/>
                <w:sz w:val="15"/>
                <w:szCs w:val="15"/>
              </w:rPr>
            </w:pPr>
            <w:r>
              <w:rPr>
                <w:rFonts w:hint="eastAsia" w:ascii="微软雅黑" w:hAnsi="微软雅黑" w:eastAsia="微软雅黑" w:cs="微软雅黑"/>
                <w:i/>
                <w:iCs/>
                <w:color w:val="000000"/>
                <w:sz w:val="15"/>
                <w:szCs w:val="15"/>
              </w:rPr>
              <w:t>RICTOR</w:t>
            </w:r>
          </w:p>
        </w:tc>
        <w:tc>
          <w:tcPr>
            <w:tcW w:w="7953" w:type="dxa"/>
            <w:tcBorders>
              <w:top w:val="single" w:color="BFBFBF" w:sz="4" w:space="0"/>
              <w:bottom w:val="single" w:color="BFBFBF" w:sz="4" w:space="0"/>
            </w:tcBorders>
            <w:vAlign w:val="center"/>
          </w:tcPr>
          <w:p>
            <w:pPr>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RICTOR（Rapamycin-insensitive companion of mTOR）是指mTOR的雷帕霉素不敏感复合体成分。mTOR是一高度保守的蛋白质，属于丝氨酸/苏氨酸蛋白激酶PIKK家族。mTOR是一种能够影响细胞体积扩张能力的蛋白质，在细胞内mTOR至少存在两种不同的复合体，mTOR与rictor蛋白结合形成雷帕霉素不敏感的复合体。该复合体能够使AKT蛋白质的氨基酸磷酸化，从而激活AKT蛋白的活性。在激素通路中调控细胞生长和存活。该基因变异可能导致细胞过度增殖，可能形成肿瘤。</w:t>
            </w:r>
          </w:p>
        </w:tc>
      </w:tr>
      <w:tr>
        <w:tblPrEx>
          <w:tblLayout w:type="fixed"/>
          <w:tblCellMar>
            <w:top w:w="0" w:type="dxa"/>
            <w:left w:w="108" w:type="dxa"/>
            <w:bottom w:w="0" w:type="dxa"/>
            <w:right w:w="108" w:type="dxa"/>
          </w:tblCellMar>
        </w:tblPrEx>
        <w:trPr>
          <w:trHeight w:val="1998" w:hRule="exact"/>
        </w:trPr>
        <w:tc>
          <w:tcPr>
            <w:tcW w:w="1566" w:type="dxa"/>
            <w:tcBorders>
              <w:top w:val="single" w:color="BFBFBF" w:sz="4" w:space="0"/>
              <w:bottom w:val="single" w:color="BFBFBF" w:sz="4" w:space="0"/>
            </w:tcBorders>
            <w:shd w:val="clear" w:color="auto" w:fill="FFFFFF" w:themeFill="background1"/>
            <w:vAlign w:val="center"/>
          </w:tcPr>
          <w:p>
            <w:pPr>
              <w:jc w:val="center"/>
              <w:rPr>
                <w:rFonts w:ascii="微软雅黑" w:hAnsi="微软雅黑" w:eastAsia="微软雅黑" w:cs="微软雅黑"/>
                <w:i/>
                <w:iCs/>
                <w:color w:val="000000"/>
                <w:sz w:val="15"/>
                <w:szCs w:val="15"/>
              </w:rPr>
            </w:pPr>
            <w:r>
              <w:rPr>
                <w:rFonts w:hint="eastAsia" w:ascii="微软雅黑" w:hAnsi="微软雅黑" w:eastAsia="微软雅黑" w:cs="微软雅黑"/>
                <w:i/>
                <w:iCs/>
                <w:color w:val="000000"/>
                <w:sz w:val="15"/>
                <w:szCs w:val="15"/>
              </w:rPr>
              <w:t>ROS1</w:t>
            </w:r>
          </w:p>
        </w:tc>
        <w:tc>
          <w:tcPr>
            <w:tcW w:w="7953" w:type="dxa"/>
            <w:tcBorders>
              <w:top w:val="single" w:color="BFBFBF" w:sz="4" w:space="0"/>
              <w:bottom w:val="single" w:color="BFBFBF" w:sz="4" w:space="0"/>
            </w:tcBorders>
            <w:vAlign w:val="center"/>
          </w:tcPr>
          <w:p>
            <w:pPr>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原癌基因ROS1表达受体酪氨酸激酶ROS。ROS1在上皮细胞的分化和区域化有重要作用：可以激活一些下游信号通路（包括PI3K-mTOR信号通路，参与细胞分化，增殖，生长和存活的调控）；是调节PTPN11磷酸化通路的活化因子；也可以磷酸化并激活转录因子STAT3去控制细胞自由生长；介导VAV3蛋白的磷酸化和激活。ROS1是一个潜在的驱动致癌基因，ROS1融合在NSCLC中发生率为1-3%。ROS1基因重排定义了NSCLC的一个特殊分子亚型，目前已经鉴定出9种不同的重排形式，其中以CD74-ROS1最为常见（42%）。</w:t>
            </w:r>
          </w:p>
        </w:tc>
      </w:tr>
      <w:tr>
        <w:tblPrEx>
          <w:tblLayout w:type="fixed"/>
          <w:tblCellMar>
            <w:top w:w="0" w:type="dxa"/>
            <w:left w:w="108" w:type="dxa"/>
            <w:bottom w:w="0" w:type="dxa"/>
            <w:right w:w="108" w:type="dxa"/>
          </w:tblCellMar>
        </w:tblPrEx>
        <w:trPr>
          <w:trHeight w:val="2121" w:hRule="exact"/>
        </w:trPr>
        <w:tc>
          <w:tcPr>
            <w:tcW w:w="1566" w:type="dxa"/>
            <w:tcBorders>
              <w:top w:val="single" w:color="BFBFBF" w:sz="4" w:space="0"/>
              <w:bottom w:val="single" w:color="BFBFBF" w:sz="4" w:space="0"/>
            </w:tcBorders>
            <w:shd w:val="clear" w:color="auto" w:fill="D8D8D8" w:themeFill="background1" w:themeFillShade="D9"/>
            <w:vAlign w:val="center"/>
          </w:tcPr>
          <w:p>
            <w:pPr>
              <w:jc w:val="center"/>
              <w:rPr>
                <w:rFonts w:ascii="微软雅黑" w:hAnsi="微软雅黑" w:eastAsia="微软雅黑" w:cs="微软雅黑"/>
                <w:i/>
                <w:iCs/>
                <w:color w:val="262626"/>
                <w:sz w:val="15"/>
                <w:szCs w:val="15"/>
              </w:rPr>
            </w:pPr>
            <w:r>
              <w:rPr>
                <w:rFonts w:hint="eastAsia" w:ascii="微软雅黑" w:hAnsi="微软雅黑" w:eastAsia="微软雅黑" w:cs="微软雅黑"/>
                <w:i/>
                <w:color w:val="262626"/>
                <w:sz w:val="15"/>
                <w:szCs w:val="15"/>
              </w:rPr>
              <w:t>TP53</w:t>
            </w:r>
          </w:p>
        </w:tc>
        <w:tc>
          <w:tcPr>
            <w:tcW w:w="7953" w:type="dxa"/>
            <w:tcBorders>
              <w:top w:val="single" w:color="BFBFBF" w:sz="4" w:space="0"/>
              <w:bottom w:val="single" w:color="BFBFBF" w:sz="4" w:space="0"/>
            </w:tcBorders>
            <w:vAlign w:val="center"/>
          </w:tcPr>
          <w:p>
            <w:pPr>
              <w:spacing w:line="360" w:lineRule="atLeast"/>
              <w:jc w:val="both"/>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p53是一种肿瘤抑制基因，编码的蛋白质是一种转录因子，控制细胞周期的启动。在所有恶性肿瘤中，50%以上会出现该基因的突变。细胞受损又不能得到修复时，p53蛋白参与启动细胞凋亡过程。p53基因突变后，空间构象发生改变，失去对细胞生长、凋亡和DNA修复的调控作用，p</w:t>
            </w:r>
            <w:r>
              <w:rPr>
                <w:rFonts w:ascii="微软雅黑" w:hAnsi="微软雅黑" w:eastAsia="微软雅黑" w:cs="微软雅黑"/>
                <w:color w:val="262626"/>
                <w:sz w:val="15"/>
                <w:szCs w:val="15"/>
              </w:rPr>
              <w:t>53</w:t>
            </w:r>
            <w:r>
              <w:rPr>
                <w:rFonts w:hint="eastAsia" w:ascii="微软雅黑" w:hAnsi="微软雅黑" w:eastAsia="微软雅黑" w:cs="微软雅黑"/>
                <w:color w:val="262626"/>
                <w:sz w:val="15"/>
                <w:szCs w:val="15"/>
              </w:rPr>
              <w:t>由抑癌基因转变为癌基因，使得缺陷细胞异常增殖引发癌症。p53基因在正常情况下对细胞分裂起着减慢或监视的作用。DNA变异的程度较小，这种基因就促使细胞自我修复，若DNA变异较大p53则诱导细胞凋亡。</w:t>
            </w:r>
          </w:p>
        </w:tc>
      </w:tr>
    </w:tbl>
    <w:p>
      <w:pPr>
        <w:rPr>
          <w:rFonts w:ascii="微软雅黑" w:hAnsi="微软雅黑" w:eastAsia="微软雅黑"/>
          <w:bCs/>
          <w:kern w:val="44"/>
          <w:sz w:val="36"/>
          <w:szCs w:val="36"/>
        </w:rPr>
      </w:pPr>
    </w:p>
    <w:p>
      <w:pPr>
        <w:rPr>
          <w:rFonts w:ascii="微软雅黑" w:hAnsi="微软雅黑" w:eastAsia="微软雅黑"/>
          <w:bCs/>
          <w:kern w:val="44"/>
          <w:sz w:val="36"/>
          <w:szCs w:val="36"/>
        </w:rPr>
      </w:pPr>
    </w:p>
    <w:p>
      <w:pPr>
        <w:rPr>
          <w:rFonts w:ascii="微软雅黑" w:hAnsi="微软雅黑" w:eastAsia="微软雅黑"/>
          <w:bCs/>
          <w:kern w:val="44"/>
          <w:sz w:val="36"/>
          <w:szCs w:val="36"/>
        </w:rPr>
      </w:pPr>
    </w:p>
    <w:p>
      <w:bookmarkStart w:id="29" w:name="_Toc455758862"/>
      <w:r>
        <w:br w:type="page"/>
      </w:r>
    </w:p>
    <w:p>
      <w:pPr>
        <w:rPr>
          <w:rStyle w:val="59"/>
          <w:rFonts w:ascii="微软雅黑" w:hAnsi="微软雅黑" w:eastAsia="微软雅黑"/>
          <w:b w:val="0"/>
          <w:sz w:val="36"/>
          <w:szCs w:val="36"/>
        </w:rPr>
      </w:pPr>
      <w:bookmarkStart w:id="30" w:name="_Toc487814225"/>
      <w:bookmarkStart w:id="31" w:name="_Toc479604175"/>
      <w:r>
        <w:rPr>
          <w:rStyle w:val="59"/>
          <w:rFonts w:hint="eastAsia" w:ascii="微软雅黑" w:hAnsi="微软雅黑" w:eastAsia="微软雅黑"/>
          <w:b w:val="0"/>
          <w:sz w:val="36"/>
          <w:szCs w:val="36"/>
        </w:rPr>
        <w:t>附录四：</w:t>
      </w:r>
      <w:r>
        <w:rPr>
          <w:rStyle w:val="59"/>
          <w:rFonts w:hint="eastAsia" w:ascii="微软雅黑" w:hAnsi="微软雅黑" w:eastAsia="微软雅黑" w:cs="微软雅黑"/>
          <w:b w:val="0"/>
          <w:sz w:val="36"/>
          <w:szCs w:val="36"/>
        </w:rPr>
        <w:t>常见</w:t>
      </w:r>
      <w:r>
        <w:rPr>
          <w:rStyle w:val="59"/>
          <w:rFonts w:hint="eastAsia" w:ascii="微软雅黑" w:hAnsi="微软雅黑" w:eastAsia="微软雅黑"/>
          <w:b w:val="0"/>
          <w:sz w:val="36"/>
          <w:szCs w:val="36"/>
        </w:rPr>
        <w:t>靶向药物相关基因解释</w:t>
      </w:r>
      <w:bookmarkEnd w:id="30"/>
      <w:bookmarkEnd w:id="31"/>
    </w:p>
    <w:p>
      <w:pPr>
        <w:rPr>
          <w:rStyle w:val="59"/>
          <w:rFonts w:ascii="微软雅黑" w:hAnsi="微软雅黑" w:eastAsia="微软雅黑"/>
          <w:b w:val="0"/>
          <w:sz w:val="10"/>
          <w:szCs w:val="10"/>
        </w:rPr>
      </w:pPr>
    </w:p>
    <w:tbl>
      <w:tblPr>
        <w:tblStyle w:val="61"/>
        <w:tblW w:w="968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85"/>
        <w:gridCol w:w="3630"/>
        <w:gridCol w:w="486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
                <w:bCs/>
                <w:kern w:val="2"/>
                <w:sz w:val="15"/>
                <w:szCs w:val="15"/>
              </w:rPr>
            </w:pPr>
            <w:bookmarkStart w:id="32" w:name="OLE_LINK14"/>
            <w:bookmarkStart w:id="33" w:name="OLE_LINK19"/>
            <w:r>
              <w:rPr>
                <w:rFonts w:hint="eastAsia" w:ascii="微软雅黑" w:hAnsi="微软雅黑" w:eastAsia="微软雅黑" w:cs="微软雅黑"/>
                <w:b/>
                <w:bCs/>
                <w:kern w:val="2"/>
                <w:sz w:val="15"/>
                <w:szCs w:val="15"/>
              </w:rPr>
              <w:t>检测基因</w:t>
            </w:r>
          </w:p>
        </w:tc>
        <w:tc>
          <w:tcPr>
            <w:tcW w:w="3630" w:type="dxa"/>
            <w:vAlign w:val="center"/>
          </w:tcPr>
          <w:p>
            <w:pPr>
              <w:widowControl w:val="0"/>
              <w:jc w:val="center"/>
              <w:rPr>
                <w:rFonts w:ascii="微软雅黑" w:hAnsi="微软雅黑" w:eastAsia="微软雅黑" w:cs="微软雅黑"/>
                <w:b/>
                <w:bCs/>
                <w:kern w:val="2"/>
                <w:sz w:val="15"/>
                <w:szCs w:val="15"/>
              </w:rPr>
            </w:pPr>
            <w:r>
              <w:rPr>
                <w:rFonts w:hint="eastAsia" w:ascii="微软雅黑" w:hAnsi="微软雅黑" w:eastAsia="微软雅黑" w:cs="微软雅黑"/>
                <w:b/>
                <w:bCs/>
                <w:kern w:val="2"/>
                <w:sz w:val="15"/>
                <w:szCs w:val="15"/>
              </w:rPr>
              <w:t>靶向药物</w:t>
            </w:r>
          </w:p>
        </w:tc>
        <w:tc>
          <w:tcPr>
            <w:tcW w:w="4865" w:type="dxa"/>
            <w:vAlign w:val="center"/>
          </w:tcPr>
          <w:p>
            <w:pPr>
              <w:widowControl w:val="0"/>
              <w:jc w:val="center"/>
              <w:rPr>
                <w:rFonts w:ascii="微软雅黑" w:hAnsi="微软雅黑" w:eastAsia="微软雅黑" w:cs="微软雅黑"/>
                <w:b/>
                <w:bCs/>
                <w:kern w:val="2"/>
                <w:sz w:val="15"/>
                <w:szCs w:val="15"/>
              </w:rPr>
            </w:pPr>
            <w:r>
              <w:rPr>
                <w:rFonts w:hint="eastAsia" w:ascii="微软雅黑" w:hAnsi="微软雅黑" w:eastAsia="微软雅黑" w:cs="微软雅黑"/>
                <w:b/>
                <w:bCs/>
                <w:kern w:val="2"/>
                <w:sz w:val="15"/>
                <w:szCs w:val="15"/>
              </w:rPr>
              <w:t>用药提示（仅供参考）</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AKT1</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AZD5363，MK-2206，Ipatasertib（临床II期）</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Ipatasertib、MK-22062HCl 是一种高度选择性的Akt 抑制剂；AZD5363 可有效抑制Akt（Akt1/2/3）的所有亚型</w:t>
            </w:r>
            <w:r>
              <w:rPr>
                <w:rFonts w:hint="eastAsia" w:ascii="微软雅黑" w:hAnsi="微软雅黑" w:eastAsia="微软雅黑" w:cs="微软雅黑"/>
                <w:kern w:val="2"/>
                <w:sz w:val="15"/>
                <w:szCs w:val="15"/>
                <w:vertAlign w:val="superscript"/>
              </w:rPr>
              <w:t>[1]</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ALK</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克唑替尼、色瑞替尼、艾乐替尼（FDA 批准用于非小细胞肺癌）；</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ALK 酪氨酸激酶结构域关键位点（1151Tins、L1152R、C1156Y、F1174L、L1196M、G1202R、S1206Y、G1269A）发生突变会导致对一代ALK 抑制剂克唑替尼产生耐药性，对二代ALK 抑制剂色瑞替尼和艾乐替尼敏感；对HSP90 抑制剂敏感性增加</w:t>
            </w:r>
            <w:r>
              <w:rPr>
                <w:rFonts w:hint="eastAsia" w:ascii="微软雅黑" w:hAnsi="微软雅黑" w:eastAsia="微软雅黑" w:cs="微软雅黑"/>
                <w:kern w:val="2"/>
                <w:sz w:val="15"/>
                <w:szCs w:val="15"/>
                <w:vertAlign w:val="superscript"/>
              </w:rPr>
              <w:t>[2-4]</w:t>
            </w:r>
            <w:r>
              <w:rPr>
                <w:rFonts w:hint="eastAsia" w:ascii="微软雅黑" w:hAnsi="微软雅黑" w:eastAsia="微软雅黑" w:cs="微软雅黑"/>
                <w:kern w:val="2"/>
                <w:sz w:val="15"/>
                <w:szCs w:val="15"/>
              </w:rPr>
              <w:t>；肺癌中，ALK 基因融合，对ALK-TKIs 药物克唑替尼、色瑞替尼、艾乐替尼敏感性增加；对EGFR</w:t>
            </w:r>
            <w:r>
              <w:rPr>
                <w:rFonts w:ascii="微软雅黑" w:hAnsi="微软雅黑" w:eastAsia="微软雅黑" w:cs="微软雅黑"/>
                <w:kern w:val="2"/>
                <w:sz w:val="15"/>
                <w:szCs w:val="15"/>
              </w:rPr>
              <w:t>-</w:t>
            </w:r>
            <w:r>
              <w:rPr>
                <w:rFonts w:hint="eastAsia" w:ascii="微软雅黑" w:hAnsi="微软雅黑" w:eastAsia="微软雅黑" w:cs="微软雅黑"/>
                <w:kern w:val="2"/>
                <w:sz w:val="15"/>
                <w:szCs w:val="15"/>
              </w:rPr>
              <w:t>TKIs 药物埃克替尼，厄洛替尼，吉非替尼，阿法替尼敏感性降低，对HSP90 抑制剂的敏感性增加</w:t>
            </w:r>
            <w:r>
              <w:rPr>
                <w:rFonts w:hint="eastAsia" w:ascii="微软雅黑" w:hAnsi="微软雅黑" w:eastAsia="微软雅黑" w:cs="微软雅黑"/>
                <w:kern w:val="2"/>
                <w:sz w:val="15"/>
                <w:szCs w:val="15"/>
                <w:vertAlign w:val="superscript"/>
              </w:rPr>
              <w:t>[5-14]</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BRAF</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多靶点抑制剂：</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维莫非尼（FDA 批准用于黑色素瘤）；</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达拉非尼（FDA 批准用于黑色素瘤）；</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瑞戈非尼（FDA 批准用于结直肠患者）；</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伊马替尼（FDA 批准用于胃肠道间质瘤）；</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舒尼替尼（FDA 批准用于胃肠道间质瘤）；</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索拉非尼（FDA 批准用于肝癌、肾癌）；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达沙替尼（FDA 批准用于慢性粒细胞白血病）；</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MEK 抑制剂：</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曲美替尼（FDA 批准用于黑色素瘤）;</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Cobimetinib（FDA 批准用于黑色素瘤）</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胃肠间质瘤中，BRAF 基因野生型对伊马替尼敏感性降低，对舒尼替尼、索拉非尼、瑞戈非尼敏感；BRAF p.V600E 突变对伊马替尼、舒尼替尼耐药；肺癌中，BRAF p.Y472C 突变对达沙替尼敏感性增加，p.V600E 突变对BRAF抑制剂维莫非尼、达拉非尼的敏感性增加；黑色素瘤中，p.V600 突变对BRAF 抑制剂维莫非尼、达拉非尼敏感性增加；曲美替尼是MEK 抑制剂，联合达拉非尼治疗BRAFV600E 或V600K 突变的不可手术切除的转移黑色素瘤；Cobimetinib 是MEK 抑制剂，联合维莫非尼治疗BRAF p.V600E 或p.V600K 突变的黑色素瘤</w:t>
            </w:r>
            <w:r>
              <w:rPr>
                <w:rFonts w:hint="eastAsia" w:ascii="微软雅黑" w:hAnsi="微软雅黑" w:eastAsia="微软雅黑" w:cs="微软雅黑"/>
                <w:kern w:val="2"/>
                <w:sz w:val="15"/>
                <w:szCs w:val="15"/>
                <w:vertAlign w:val="superscript"/>
              </w:rPr>
              <w:t>[15-33</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DDR2</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瑞戈非尼（FDA 批准用于结直肠癌）；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达沙替尼（FDA 批准用于慢性粒细胞白血病）</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瑞戈非尼是一种激酶抑制剂，体外生化或细胞实验结果表明可以抑制DDR2 等激酶活性；个别病例报道DDR2 第18 号外显子突变S768R 对达沙替尼有效</w:t>
            </w:r>
            <w:r>
              <w:rPr>
                <w:rFonts w:hint="eastAsia" w:ascii="微软雅黑" w:hAnsi="微软雅黑" w:eastAsia="微软雅黑" w:cs="微软雅黑"/>
                <w:kern w:val="2"/>
                <w:sz w:val="15"/>
                <w:szCs w:val="15"/>
                <w:vertAlign w:val="superscript"/>
              </w:rPr>
              <w:t>[34-36]</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EGFR</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吉非替尼、厄洛替尼、阿法替尼（FDA批准用于非小细胞肺癌）、埃克替尼*；</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Osimertinib（FDA 批准用于非小细胞肺癌）；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Rociletinib（临床III 期）；</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HM61713（II期）；</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凡德他尼（FDA 批准用于髓质型甲状腺癌）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帕尼单抗（FDA 批准用于结直肠癌）；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西妥昔单抗（FDA 批准用于结直肠癌）；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尼妥珠单抗（CFDA 批准用于鼻咽癌，头颈部实体瘤）</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肺癌中，EGFR 基因野生型、外显子20 插入突变，对第一代EGFR TKIs 药物（吉非替尼、厄洛替尼、埃克替尼）感性降低；EGFRp.L861Q 突变、p.L858R 突变、p.A763_Y764insFQEA 突变、p.G719A/C/S 突变、外显子19 插入或缺失、外显子18、19、21 突变，对EGFR TKIs 药物敏感性增加；EGFR 基因p.T790M 突变，对第一代EGFR</w:t>
            </w:r>
            <w:r>
              <w:rPr>
                <w:rFonts w:ascii="微软雅黑" w:hAnsi="微软雅黑" w:eastAsia="微软雅黑" w:cs="微软雅黑"/>
                <w:kern w:val="2"/>
                <w:sz w:val="15"/>
                <w:szCs w:val="15"/>
              </w:rPr>
              <w:t>-</w:t>
            </w:r>
            <w:r>
              <w:rPr>
                <w:rFonts w:hint="eastAsia" w:ascii="微软雅黑" w:hAnsi="微软雅黑" w:eastAsia="微软雅黑" w:cs="微软雅黑"/>
                <w:kern w:val="2"/>
                <w:sz w:val="15"/>
                <w:szCs w:val="15"/>
              </w:rPr>
              <w:t>TKIs 药物敏感性降低（厄洛替尼、埃克替尼、吉非替尼）；对第三代EGFR TKIs 药物（Osimertinib，Rociletinib）敏感性增加；凡德他尼是一种多靶点（EGFR、RET、VEGFR2等）激酶抑制剂；尼妥珠单抗、西妥昔单抗和帕尼单抗是EGFR 的单克隆抗体</w:t>
            </w:r>
            <w:r>
              <w:rPr>
                <w:rFonts w:hint="eastAsia" w:ascii="微软雅黑" w:hAnsi="微软雅黑" w:eastAsia="微软雅黑" w:cs="微软雅黑"/>
                <w:kern w:val="2"/>
                <w:sz w:val="15"/>
                <w:szCs w:val="15"/>
                <w:vertAlign w:val="superscript"/>
              </w:rPr>
              <w:t>[37−53]</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FGFR1</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普纳替尼（FDA 批准用于慢性粒细胞白血病）</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体外实验表明FGFR1 扩增可能对FGFR 抑制剂（如普纳替尼）敏感。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HER2</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阿法替尼（FDA 批准用于非小细胞肺癌）；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拉帕替尼（FDA 批准用于乳腺癌）；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曲妥珠单抗（FDA 批准用于乳腺癌、胃癌）；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帕妥珠单抗（FDA 批准用于乳腺癌）</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在乳腺癌中，HER2 基因扩增对曲妥珠单抗、帕妥珠单抗、拉帕替尼敏感性增加；在胃癌中，HER2 基因扩增对曲妥珠单抗敏感性增加；阿法替尼是EGFR 和HER2 酪氨酸激酶的强效、不可逆的双重抑制剂，可以使用阿法替尼治疗HER2 突变的非小细胞肺癌患者</w:t>
            </w:r>
            <w:r>
              <w:rPr>
                <w:rFonts w:hint="eastAsia" w:ascii="微软雅黑" w:hAnsi="微软雅黑" w:eastAsia="微软雅黑" w:cs="微软雅黑"/>
                <w:kern w:val="2"/>
                <w:sz w:val="15"/>
                <w:szCs w:val="15"/>
                <w:vertAlign w:val="superscript"/>
              </w:rPr>
              <w:t>[59−63]</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KIT</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阿西替尼（FDA 批准用于肾细胞癌）；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瑞戈非尼（FDA 批准用于结直肠癌）；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帕唑帕尼（FDA 批准用于肾癌、软组织瘤）;</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达沙替尼（FDA 批准用于慢性粒细胞白病）；</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伊马替尼（FDA 批准用于胃肠道间质瘤）；</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舒尼替尼（FDA 批准用于胃肠道间质瘤）；</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索拉非尼（FDA 批准用于肝癌、肾癌）</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胃肠道间质瘤中，KIT 基因野生型，对伊马替尼敏感性降低；对舒尼替尼、索拉非尼、瑞戈非尼、达沙替尼敏感；外显子11 突变，对伊马替尼、索拉非尼敏感，对舒尼替尼敏感性降低；外显子13 突变对伊马替尼、舒尼替尼敏感；外显子14 突变，伊马替尼对次生突变耐药，对舒尼替尼敏感；外显子17 突变，原发性突变对伊马替尼敏感，次生突变对伊马替尼、舒尼替尼耐药；外显子9 突变，对伊马替尼敏感性中等，剂量需由400mg 增加至800mg，对舒尼替尼、索拉非尼敏感；黑色素瘤中，KIT 基因p.W557R、p.V559A、p.V559D、p.L576P、p.K642E 突变对KIT 抑制剂敏感性增加，p.D816H 突变对KIT 抑制剂敏感性降低；胸腺癌中，KIT 基因p.Y553N、p.E490K、p.W557R、p.V559A、p.L576P、p.H697Y 突变、p.V560、p.P577_D579 缺失对伊马替尼、舒尼替尼、索拉非尼、达沙替尼可能敏感性增加；p.D820E突变对索拉非尼、达沙替尼敏感性增加，对伊马替尼、舒尼替尼可能敏感性降低；阿西替尼和帕唑帕尼是多靶点（KIT、PDGFR、VEGFR1/2/3）酪氨酸激酶抑制剂</w:t>
            </w:r>
            <w:r>
              <w:rPr>
                <w:rFonts w:hint="eastAsia" w:ascii="微软雅黑" w:hAnsi="微软雅黑" w:eastAsia="微软雅黑" w:cs="微软雅黑"/>
                <w:kern w:val="2"/>
                <w:sz w:val="15"/>
                <w:szCs w:val="15"/>
                <w:vertAlign w:val="superscript"/>
              </w:rPr>
              <w:t>[65−75]</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KRAS</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EGFR 抑制剂：</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吉非替尼、厄洛替尼、阿法替尼（FDA 批准用于非小细胞肺癌）；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EGFR 单抗：</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帕尼单抗（FDA 批准用于结直肠癌）；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西妥昔单抗（FDA 批准用于结直肠癌）；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MEK 抑制剂：</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司美替尼（临床III期）</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结直肠癌中，野生型对EGFR 抗体类药物（西妥昔单抗、帕尼单抗）可能有效；密码子12、13、61 突变导致KRAS 信号通路持续激活，可能无法从EGFR 抗体类药物获益；结直肠癌中，KRAS 基因p.G13D 突变可以从西妥昔单抗、帕尼单抗联合化疗治疗中获益，也有证据表明KRAS p.G13D 突变对帕尼单抗的敏感性降低；肺癌中，密码子12、13、61 突变对EGFR TKI 药物（吉非替尼、厄洛替尼、埃克替尼、阿法替尼）的敏感性降低；甲状腺癌中，KRAS 基因p.G13R/S/D、p.G12A/C/D/R/S/V、p.Q61K/L/P/R、p.A146V突变对结合放射性碘治疗的MEK 抑制剂曲美替尼可能敏感性增加</w:t>
            </w:r>
            <w:r>
              <w:rPr>
                <w:rFonts w:hint="eastAsia" w:ascii="微软雅黑" w:hAnsi="微软雅黑" w:eastAsia="微软雅黑" w:cs="微软雅黑"/>
                <w:kern w:val="2"/>
                <w:sz w:val="15"/>
                <w:szCs w:val="15"/>
                <w:vertAlign w:val="superscript"/>
              </w:rPr>
              <w:t>[76-83]</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MET</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克唑替尼（FDA 批准用于非小细胞肺癌）；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卡博替尼（FDA 批准用于髓质型甲状腺癌）；</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MET 基因扩增，对MET TKI 类药物克唑替尼、卡博替尼敏感性增加，对EGFR TKIs 药物（吉非替尼、厄洛替尼、埃克替尼、阿法替尼）敏感性降低</w:t>
            </w:r>
            <w:r>
              <w:rPr>
                <w:rFonts w:hint="eastAsia" w:ascii="微软雅黑" w:hAnsi="微软雅黑" w:eastAsia="微软雅黑" w:cs="微软雅黑"/>
                <w:kern w:val="2"/>
                <w:sz w:val="15"/>
                <w:szCs w:val="15"/>
                <w:vertAlign w:val="superscript"/>
              </w:rPr>
              <w:t>[86−90]</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NRAS</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MEK 抑制剂：</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司美替尼（临床III 期）；</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EGFR 单抗：</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帕尼单抗（FDA 批准用于结直肠癌）;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西妥昔单抗（FDA 批准用于结直肠癌）</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结直肠癌中，NRAS 基因野生型对西妥昔单抗、帕尼单抗（EGFR 抗体）敏感性增加；黑色素瘤中，NRAS 基因p.Q61E/K/L/P/R/H 突变对MEK 抑制剂（曲美替尼、司美替尼）敏感性增加</w:t>
            </w:r>
            <w:r>
              <w:rPr>
                <w:rFonts w:hint="eastAsia" w:ascii="微软雅黑" w:hAnsi="微软雅黑" w:eastAsia="微软雅黑" w:cs="微软雅黑"/>
                <w:kern w:val="2"/>
                <w:sz w:val="15"/>
                <w:szCs w:val="15"/>
                <w:vertAlign w:val="superscript"/>
              </w:rPr>
              <w:t>[91-96]</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PDGFRA</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帕唑帕尼（FDA 批准用于晚期肾癌、软组织瘤）；</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伊马替尼（FDA 批准用于胃肠道间质瘤）；</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舒尼替尼（FDA 批准用于胃肠道间质瘤）；</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索拉非尼（FDA 批准用于肝癌、肾癌）；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瑞戈非尼（FDA 批准用于结直肠癌）；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达沙替尼（FDA 批准用于慢性粒细胞白血病）</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胃肠道间质瘤中，PDGFRA 基因野生型，对伊马替尼敏感性降低，对舒尼替尼、索拉非尼、瑞戈非尼、达沙替尼敏感；外显子12、14、18（除D842V）突变对伊马替尼、舒尼替尼等敏感性增加；外显子18p.D842V 突变对伊马替尼、舒尼替尼敏感性降低；帕唑帕尼是多靶点（KIT、PDGFR、VEGFR1/2/3）酪氨酸激酶抑制剂</w:t>
            </w:r>
            <w:r>
              <w:rPr>
                <w:rFonts w:hint="eastAsia" w:ascii="微软雅黑" w:hAnsi="微软雅黑" w:eastAsia="微软雅黑" w:cs="微软雅黑"/>
                <w:kern w:val="2"/>
                <w:sz w:val="15"/>
                <w:szCs w:val="15"/>
                <w:vertAlign w:val="superscript"/>
              </w:rPr>
              <w:t>[97−100]</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PIK3CA</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PI3K 抑制剂，GDC-0941（临床II 期）；</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EGFR 单抗：</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帕尼单抗（FDA 批准用于结直肠癌）；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西妥昔单抗（FDA 批准用于结直肠癌）</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临床前研究表明PIK3CA 基因突变可能导致对PI3K 抑制剂敏感；有研究报告，肺癌中PIK3CA 激活性突变（p.E542K、p.E545K、p.E545Q、p.H1047L、p.H1047R）导致对EGFR TKI 耐药</w:t>
            </w:r>
            <w:r>
              <w:rPr>
                <w:rFonts w:hint="eastAsia" w:ascii="微软雅黑" w:hAnsi="微软雅黑" w:eastAsia="微软雅黑" w:cs="微软雅黑"/>
                <w:kern w:val="2"/>
                <w:sz w:val="15"/>
                <w:szCs w:val="15"/>
                <w:vertAlign w:val="superscript"/>
              </w:rPr>
              <w:t>[101−103]</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PTEN</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mTOR 抑制剂：</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替西罗莫司（FDA 批准用于肾癌）;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依维莫司*（FDA 批准用于预防肾移植和肝移植手术后的排斥应）；</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EGFR单抗：</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西妥昔单抗（FDA 批准用于结直肠癌）</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结直肠癌中，PTEN 失活突变可能导致西妥昔单抗耐药；体外实验表明PTEN 失活突变对PI3K-AKT 抑制剂和mTOR 抑制剂（如替西罗莫司、依维莫司）敏感</w:t>
            </w:r>
            <w:r>
              <w:rPr>
                <w:rFonts w:hint="eastAsia" w:ascii="微软雅黑" w:hAnsi="微软雅黑" w:eastAsia="微软雅黑" w:cs="微软雅黑"/>
                <w:kern w:val="2"/>
                <w:sz w:val="15"/>
                <w:szCs w:val="15"/>
                <w:vertAlign w:val="superscript"/>
              </w:rPr>
              <w:t>[104-108]</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RET</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凡德他尼（FDA 批准用于髓质型甲状腺癌）；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卡博替尼（FDA 批准用于甲状腺癌）；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舒尼替尼（FDA 批准用于胃肠道间质瘤）；</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索拉非尼（FDA 批准用于肝癌、肾癌）</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甲状腺癌中，RET 基因p.C634、p.M918T 突变或融合时，使用凡德他尼可提高无进展生存期；非小细胞肺癌中，临床试验研究表明，RET 基因融合时，对卡博替尼和凡德他尼敏感；索拉非尼、舒尼替尼、凡德他尼是多靶点激酶抑制剂，RET 是靶点之一</w:t>
            </w:r>
            <w:r>
              <w:rPr>
                <w:rFonts w:hint="eastAsia" w:ascii="微软雅黑" w:hAnsi="微软雅黑" w:eastAsia="微软雅黑" w:cs="微软雅黑"/>
                <w:kern w:val="2"/>
                <w:sz w:val="15"/>
                <w:szCs w:val="15"/>
                <w:vertAlign w:val="superscript"/>
              </w:rPr>
              <w:t>[109-112]</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ROS1</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克唑替尼（FDA 批准用于非小细胞肺癌）；</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肺癌中，ROS1 基因融合，对克唑替尼（ALK、MET、ROS1 抑制剂）类药物敏感性增加；对厄洛替尼、吉非替尼敏感性降低</w:t>
            </w:r>
            <w:r>
              <w:rPr>
                <w:rFonts w:hint="eastAsia" w:ascii="微软雅黑" w:hAnsi="微软雅黑" w:eastAsia="微软雅黑" w:cs="微软雅黑"/>
                <w:kern w:val="2"/>
                <w:sz w:val="15"/>
                <w:szCs w:val="15"/>
                <w:vertAlign w:val="superscript"/>
              </w:rPr>
              <w:t>[113−115]</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5"/>
                <w:szCs w:val="15"/>
              </w:rPr>
            </w:pPr>
            <w:r>
              <w:rPr>
                <w:rFonts w:hint="eastAsia" w:ascii="微软雅黑" w:hAnsi="微软雅黑" w:eastAsia="微软雅黑" w:cs="微软雅黑"/>
                <w:bCs/>
                <w:i/>
                <w:kern w:val="2"/>
                <w:sz w:val="15"/>
                <w:szCs w:val="15"/>
              </w:rPr>
              <w:t>TSC1</w:t>
            </w:r>
          </w:p>
        </w:tc>
        <w:tc>
          <w:tcPr>
            <w:tcW w:w="3630"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mTOR 抑制剂：</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替西罗莫司（FDA 批准用于肾癌）;</w:t>
            </w:r>
          </w:p>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依维莫司*（FDA 批准用于预防肾移植和肝移植手术后的排斥反应）</w:t>
            </w:r>
          </w:p>
        </w:tc>
        <w:tc>
          <w:tcPr>
            <w:tcW w:w="4865" w:type="dxa"/>
            <w:vAlign w:val="center"/>
          </w:tcPr>
          <w:p>
            <w:pPr>
              <w:widowControl w:val="0"/>
              <w:jc w:val="both"/>
              <w:rPr>
                <w:rFonts w:ascii="微软雅黑" w:hAnsi="微软雅黑" w:eastAsia="微软雅黑" w:cs="微软雅黑"/>
                <w:kern w:val="2"/>
                <w:sz w:val="15"/>
                <w:szCs w:val="15"/>
              </w:rPr>
            </w:pPr>
            <w:r>
              <w:rPr>
                <w:rFonts w:hint="eastAsia" w:ascii="微软雅黑" w:hAnsi="微软雅黑" w:eastAsia="微软雅黑" w:cs="微软雅黑"/>
                <w:kern w:val="2"/>
                <w:sz w:val="15"/>
                <w:szCs w:val="15"/>
              </w:rPr>
              <w:t>膀胱癌中，TSC1 基因p.E636 移码突变对mTOR 抑制剂替西罗莫司、依维莫司敏感性增加</w:t>
            </w:r>
            <w:r>
              <w:rPr>
                <w:rFonts w:hint="eastAsia" w:ascii="微软雅黑" w:hAnsi="微软雅黑" w:eastAsia="微软雅黑" w:cs="微软雅黑"/>
                <w:kern w:val="2"/>
                <w:sz w:val="15"/>
                <w:szCs w:val="15"/>
                <w:vertAlign w:val="superscript"/>
              </w:rPr>
              <w:t>[118-119]</w:t>
            </w:r>
            <w:r>
              <w:rPr>
                <w:rFonts w:hint="eastAsia" w:ascii="微软雅黑" w:hAnsi="微软雅黑" w:eastAsia="微软雅黑" w:cs="微软雅黑"/>
                <w:kern w:val="2"/>
                <w:sz w:val="15"/>
                <w:szCs w:val="15"/>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85" w:type="dxa"/>
            <w:vAlign w:val="center"/>
          </w:tcPr>
          <w:p>
            <w:pPr>
              <w:widowControl w:val="0"/>
              <w:jc w:val="center"/>
              <w:rPr>
                <w:rFonts w:ascii="微软雅黑" w:hAnsi="微软雅黑" w:eastAsia="微软雅黑" w:cs="微软雅黑"/>
                <w:bCs/>
                <w:i/>
                <w:kern w:val="2"/>
                <w:sz w:val="16"/>
                <w:szCs w:val="16"/>
              </w:rPr>
            </w:pPr>
            <w:r>
              <w:rPr>
                <w:rFonts w:ascii="微软雅黑" w:hAnsi="微软雅黑" w:eastAsia="微软雅黑" w:cs="微软雅黑"/>
                <w:bCs/>
                <w:i/>
                <w:kern w:val="2"/>
                <w:sz w:val="16"/>
                <w:szCs w:val="16"/>
              </w:rPr>
              <w:t>MSI/</w:t>
            </w:r>
            <w:r>
              <w:rPr>
                <w:rFonts w:hint="eastAsia" w:ascii="微软雅黑" w:hAnsi="微软雅黑" w:eastAsia="微软雅黑" w:cs="微软雅黑"/>
                <w:bCs/>
                <w:i/>
                <w:kern w:val="2"/>
                <w:sz w:val="16"/>
                <w:szCs w:val="16"/>
              </w:rPr>
              <w:t>M</w:t>
            </w:r>
            <w:r>
              <w:rPr>
                <w:rFonts w:ascii="微软雅黑" w:hAnsi="微软雅黑" w:eastAsia="微软雅黑" w:cs="微软雅黑"/>
                <w:bCs/>
                <w:i/>
                <w:kern w:val="2"/>
                <w:sz w:val="16"/>
                <w:szCs w:val="16"/>
              </w:rPr>
              <w:t>MR</w:t>
            </w:r>
          </w:p>
        </w:tc>
        <w:tc>
          <w:tcPr>
            <w:tcW w:w="3630" w:type="dxa"/>
            <w:vAlign w:val="center"/>
          </w:tcPr>
          <w:p>
            <w:pPr>
              <w:widowControl w:val="0"/>
              <w:jc w:val="both"/>
              <w:rPr>
                <w:rFonts w:ascii="微软雅黑" w:hAnsi="微软雅黑" w:eastAsia="微软雅黑" w:cs="微软雅黑"/>
                <w:kern w:val="2"/>
                <w:sz w:val="16"/>
                <w:szCs w:val="16"/>
              </w:rPr>
            </w:pPr>
            <w:r>
              <w:rPr>
                <w:rFonts w:hint="eastAsia" w:ascii="微软雅黑" w:hAnsi="微软雅黑" w:eastAsia="微软雅黑" w:cs="微软雅黑"/>
                <w:kern w:val="2"/>
                <w:sz w:val="16"/>
                <w:szCs w:val="16"/>
              </w:rPr>
              <w:t>PD-1</w:t>
            </w:r>
            <w:r>
              <w:rPr>
                <w:rFonts w:hint="eastAsia" w:ascii="微软雅黑" w:hAnsi="微软雅黑" w:eastAsia="微软雅黑" w:cs="Times New Roman"/>
                <w:sz w:val="18"/>
                <w:szCs w:val="18"/>
              </w:rPr>
              <w:t xml:space="preserve"> Keytruda（pembrolizumab）（</w:t>
            </w:r>
            <w:r>
              <w:rPr>
                <w:rFonts w:hint="eastAsia" w:ascii="微软雅黑" w:hAnsi="微软雅黑" w:eastAsia="微软雅黑" w:cs="微软雅黑"/>
                <w:kern w:val="2"/>
                <w:sz w:val="16"/>
                <w:szCs w:val="16"/>
              </w:rPr>
              <w:t>FDA 批准用于实体瘤</w:t>
            </w:r>
            <w:r>
              <w:rPr>
                <w:rFonts w:hint="eastAsia" w:ascii="微软雅黑" w:hAnsi="微软雅黑" w:eastAsia="微软雅黑" w:cs="Times New Roman"/>
                <w:sz w:val="18"/>
                <w:szCs w:val="18"/>
              </w:rPr>
              <w:t>）</w:t>
            </w:r>
          </w:p>
        </w:tc>
        <w:tc>
          <w:tcPr>
            <w:tcW w:w="4865" w:type="dxa"/>
            <w:vAlign w:val="center"/>
          </w:tcPr>
          <w:p>
            <w:pPr>
              <w:widowControl w:val="0"/>
              <w:jc w:val="both"/>
              <w:rPr>
                <w:rFonts w:ascii="微软雅黑" w:hAnsi="微软雅黑" w:eastAsia="微软雅黑" w:cs="微软雅黑"/>
                <w:kern w:val="2"/>
                <w:sz w:val="16"/>
                <w:szCs w:val="16"/>
              </w:rPr>
            </w:pPr>
            <w:r>
              <w:rPr>
                <w:rFonts w:hint="eastAsia" w:ascii="微软雅黑" w:hAnsi="微软雅黑" w:eastAsia="微软雅黑" w:cs="微软雅黑"/>
                <w:kern w:val="2"/>
                <w:sz w:val="16"/>
                <w:szCs w:val="16"/>
              </w:rPr>
              <w:t>微卫星不稳定性高的癌症：</w:t>
            </w:r>
          </w:p>
          <w:p>
            <w:pPr>
              <w:widowControl w:val="0"/>
              <w:jc w:val="both"/>
              <w:rPr>
                <w:rFonts w:ascii="微软雅黑" w:hAnsi="微软雅黑" w:eastAsia="微软雅黑" w:cs="微软雅黑"/>
                <w:kern w:val="2"/>
                <w:sz w:val="16"/>
                <w:szCs w:val="16"/>
              </w:rPr>
            </w:pPr>
            <w:r>
              <w:rPr>
                <w:rFonts w:hint="eastAsia" w:ascii="微软雅黑" w:hAnsi="微软雅黑" w:eastAsia="微软雅黑" w:cs="微软雅黑"/>
                <w:kern w:val="2"/>
                <w:sz w:val="16"/>
                <w:szCs w:val="16"/>
              </w:rPr>
              <w:t>用于治疗不可切除的或转移性的，存在微卫星不稳定性高（MSI-H）或错配修复缺陷的成人和儿科病人。包括在治疗后进展但没有令人满意的可替代的治疗方案实体肿瘤、或利用氟嘧啶、奥沙利铂和伊立替康治疗后进展的结直肠癌。</w:t>
            </w:r>
          </w:p>
        </w:tc>
      </w:tr>
      <w:bookmarkEnd w:id="32"/>
      <w:bookmarkEnd w:id="33"/>
    </w:tbl>
    <w:p>
      <w:pPr>
        <w:rPr>
          <w:rFonts w:ascii="微软雅黑" w:hAnsi="微软雅黑" w:eastAsia="微软雅黑" w:cstheme="majorBidi"/>
          <w:color w:val="000000" w:themeColor="text1"/>
          <w:sz w:val="36"/>
          <w:szCs w:val="24"/>
          <w14:textFill>
            <w14:solidFill>
              <w14:schemeClr w14:val="tx1"/>
            </w14:solidFill>
          </w14:textFill>
        </w:rPr>
      </w:pPr>
    </w:p>
    <w:p>
      <w:pPr>
        <w:pStyle w:val="2"/>
        <w:rPr>
          <w:rFonts w:ascii="微软雅黑" w:hAnsi="微软雅黑" w:eastAsia="微软雅黑"/>
          <w:b w:val="0"/>
          <w:sz w:val="36"/>
          <w:szCs w:val="36"/>
        </w:rPr>
      </w:pPr>
      <w:r>
        <w:rPr>
          <w:rFonts w:ascii="微软雅黑" w:hAnsi="微软雅黑" w:eastAsia="微软雅黑"/>
          <w:b w:val="0"/>
          <w:sz w:val="36"/>
          <w:szCs w:val="36"/>
        </w:rPr>
        <w:br w:type="page"/>
      </w:r>
    </w:p>
    <w:p>
      <w:pPr>
        <w:pStyle w:val="2"/>
        <w:rPr>
          <w:rFonts w:ascii="微软雅黑" w:hAnsi="微软雅黑" w:eastAsia="微软雅黑"/>
          <w:b w:val="0"/>
          <w:sz w:val="36"/>
          <w:szCs w:val="36"/>
        </w:rPr>
      </w:pPr>
      <w:bookmarkStart w:id="34" w:name="_Toc487814226"/>
      <w:r>
        <w:rPr>
          <w:rFonts w:hint="eastAsia" w:ascii="微软雅黑" w:hAnsi="微软雅黑" w:eastAsia="微软雅黑"/>
          <w:b w:val="0"/>
          <w:sz w:val="36"/>
          <w:szCs w:val="36"/>
        </w:rPr>
        <w:t>附录五：检测流程</w:t>
      </w:r>
      <w:bookmarkEnd w:id="29"/>
      <w:bookmarkEnd w:id="34"/>
    </w:p>
    <w:p>
      <w:pPr>
        <w:widowControl w:val="0"/>
        <w:numPr>
          <w:ilvl w:val="0"/>
          <w:numId w:val="3"/>
        </w:numPr>
        <w:spacing w:line="400" w:lineRule="exact"/>
        <w:jc w:val="both"/>
        <w:rPr>
          <w:rFonts w:ascii="微软雅黑" w:hAnsi="微软雅黑" w:eastAsia="微软雅黑" w:cs="微软雅黑"/>
          <w:color w:val="1F497D" w:themeColor="text2"/>
          <w:kern w:val="2"/>
          <w14:textFill>
            <w14:solidFill>
              <w14:schemeClr w14:val="tx2"/>
            </w14:solidFill>
          </w14:textFill>
        </w:rPr>
      </w:pPr>
      <w:r>
        <w:rPr>
          <w:rFonts w:hint="eastAsia" w:ascii="微软雅黑" w:hAnsi="微软雅黑" w:eastAsia="微软雅黑" w:cs="微软雅黑"/>
          <w:color w:val="1F497D" w:themeColor="text2"/>
          <w:kern w:val="2"/>
          <w14:textFill>
            <w14:solidFill>
              <w14:schemeClr w14:val="tx2"/>
            </w14:solidFill>
          </w14:textFill>
        </w:rPr>
        <w:t>检测内容：组织样本基因检测</w:t>
      </w:r>
    </w:p>
    <w:p>
      <w:pPr>
        <w:widowControl w:val="0"/>
        <w:spacing w:line="400" w:lineRule="exact"/>
        <w:ind w:left="360"/>
        <w:jc w:val="both"/>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肿瘤DNA来自肿瘤细胞，携带原位肿瘤和转移病灶的基因变异信息，已成为新一代的肿瘤标志物。</w:t>
      </w:r>
    </w:p>
    <w:p>
      <w:pPr>
        <w:widowControl w:val="0"/>
        <w:numPr>
          <w:ilvl w:val="0"/>
          <w:numId w:val="3"/>
        </w:numPr>
        <w:spacing w:line="400" w:lineRule="exact"/>
        <w:jc w:val="both"/>
        <w:rPr>
          <w:rFonts w:ascii="微软雅黑" w:hAnsi="微软雅黑" w:eastAsia="微软雅黑" w:cs="微软雅黑"/>
          <w:color w:val="1F497D" w:themeColor="text2"/>
          <w:kern w:val="2"/>
          <w14:textFill>
            <w14:solidFill>
              <w14:schemeClr w14:val="tx2"/>
            </w14:solidFill>
          </w14:textFill>
        </w:rPr>
      </w:pPr>
      <w:r>
        <w:rPr>
          <w:rFonts w:hint="eastAsia" w:ascii="微软雅黑" w:hAnsi="微软雅黑" w:eastAsia="微软雅黑" w:cs="微软雅黑"/>
          <w:color w:val="1F497D" w:themeColor="text2"/>
          <w:kern w:val="2"/>
          <w14:textFill>
            <w14:solidFill>
              <w14:schemeClr w14:val="tx2"/>
            </w14:solidFill>
          </w14:textFill>
        </w:rPr>
        <w:t>技术方法：</w:t>
      </w:r>
    </w:p>
    <w:p>
      <w:pPr>
        <w:snapToGrid w:val="0"/>
        <w:spacing w:line="360" w:lineRule="auto"/>
        <w:ind w:firstLine="346" w:firstLineChars="192"/>
        <w:jc w:val="both"/>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本次检测采用目标区域捕获结合高通量测序技术，通过提取组织中DNA，对受检者临床用药</w:t>
      </w:r>
      <w:r>
        <w:rPr>
          <w:rFonts w:ascii="微软雅黑" w:hAnsi="微软雅黑" w:eastAsia="微软雅黑" w:cs="微软雅黑"/>
          <w:kern w:val="2"/>
          <w:sz w:val="18"/>
          <w:szCs w:val="18"/>
        </w:rPr>
        <w:t>86</w:t>
      </w:r>
      <w:r>
        <w:rPr>
          <w:rFonts w:hint="eastAsia" w:ascii="微软雅黑" w:hAnsi="微软雅黑" w:eastAsia="微软雅黑" w:cs="微软雅黑"/>
          <w:kern w:val="2"/>
          <w:sz w:val="18"/>
          <w:szCs w:val="18"/>
        </w:rPr>
        <w:t>个基因</w:t>
      </w:r>
      <w:bookmarkStart w:id="35" w:name="OLE_LINK8"/>
      <w:bookmarkStart w:id="36" w:name="OLE_LINK7"/>
      <w:r>
        <w:rPr>
          <w:rFonts w:hint="eastAsia" w:ascii="微软雅黑" w:hAnsi="微软雅黑" w:eastAsia="微软雅黑" w:cs="微软雅黑"/>
          <w:kern w:val="2"/>
          <w:sz w:val="18"/>
          <w:szCs w:val="18"/>
        </w:rPr>
        <w:t>编码区及其</w:t>
      </w:r>
    </w:p>
    <w:p>
      <w:pPr>
        <w:snapToGrid w:val="0"/>
        <w:spacing w:line="360" w:lineRule="auto"/>
        <w:ind w:firstLine="346" w:firstLineChars="192"/>
        <w:jc w:val="both"/>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邻近±10bp内含子区变异</w:t>
      </w:r>
      <w:bookmarkEnd w:id="35"/>
      <w:bookmarkEnd w:id="36"/>
      <w:r>
        <w:rPr>
          <w:rFonts w:hint="eastAsia" w:ascii="微软雅黑" w:hAnsi="微软雅黑" w:eastAsia="微软雅黑" w:cs="微软雅黑"/>
          <w:kern w:val="2"/>
          <w:sz w:val="18"/>
          <w:szCs w:val="18"/>
        </w:rPr>
        <w:t>（包括点突变、小的插入缺失、融合）进行分析，本项技术的检测灵敏度和特异性均达到95%</w:t>
      </w:r>
    </w:p>
    <w:p>
      <w:pPr>
        <w:snapToGrid w:val="0"/>
        <w:spacing w:line="360" w:lineRule="auto"/>
        <w:ind w:firstLine="346" w:firstLineChars="192"/>
        <w:jc w:val="both"/>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以上。</w:t>
      </w:r>
    </w:p>
    <w:p>
      <w:pPr>
        <w:widowControl w:val="0"/>
        <w:numPr>
          <w:ilvl w:val="0"/>
          <w:numId w:val="3"/>
        </w:numPr>
        <w:spacing w:before="156" w:beforeLines="50" w:after="156" w:afterLines="50" w:line="400" w:lineRule="exact"/>
        <w:ind w:left="357" w:hanging="357"/>
        <w:jc w:val="both"/>
        <w:rPr>
          <w:rFonts w:ascii="微软雅黑" w:hAnsi="微软雅黑" w:eastAsia="微软雅黑" w:cs="微软雅黑"/>
          <w:color w:val="1F497D" w:themeColor="text2"/>
          <w:kern w:val="2"/>
          <w14:textFill>
            <w14:solidFill>
              <w14:schemeClr w14:val="tx2"/>
            </w14:solidFill>
          </w14:textFill>
        </w:rPr>
      </w:pPr>
      <w:r>
        <w:rPr>
          <w:rFonts w:hint="eastAsia" w:ascii="微软雅黑" w:hAnsi="微软雅黑" w:eastAsia="微软雅黑" w:cs="微软雅黑"/>
          <w:color w:val="1F497D" w:themeColor="text2"/>
          <w:kern w:val="2"/>
          <w14:textFill>
            <w14:solidFill>
              <w14:schemeClr w14:val="tx2"/>
            </w14:solidFill>
          </w14:textFill>
        </w:rPr>
        <w:t>检测技术：二代测序技术</w:t>
      </w:r>
    </w:p>
    <w:p>
      <w:pPr>
        <w:numPr>
          <w:ilvl w:val="0"/>
          <w:numId w:val="3"/>
        </w:numPr>
        <w:rPr>
          <w:rFonts w:eastAsia="宋体" w:cs="Times New Roman"/>
        </w:rPr>
      </w:pPr>
      <w:r>
        <w:rPr>
          <w:rFonts w:hint="eastAsia" w:ascii="微软雅黑" w:hAnsi="微软雅黑" w:eastAsia="微软雅黑"/>
          <w:color w:val="1F497D"/>
          <w:kern w:val="2"/>
        </w:rPr>
        <w:t>检出下限值</w:t>
      </w:r>
      <w:r>
        <w:rPr>
          <w:rFonts w:hint="eastAsia" w:ascii="微软雅黑" w:hAnsi="微软雅黑" w:eastAsia="微软雅黑" w:cs="微软雅黑"/>
          <w:color w:val="1F497D" w:themeColor="text2"/>
          <w:kern w:val="2"/>
          <w14:textFill>
            <w14:solidFill>
              <w14:schemeClr w14:val="tx2"/>
            </w14:solidFill>
          </w14:textFill>
        </w:rPr>
        <w:t>：0.05%</w:t>
      </w:r>
    </w:p>
    <w:p>
      <w:pPr>
        <w:widowControl w:val="0"/>
        <w:numPr>
          <w:ilvl w:val="0"/>
          <w:numId w:val="3"/>
        </w:numPr>
        <w:spacing w:before="156" w:beforeLines="50" w:after="156" w:afterLines="50" w:line="400" w:lineRule="exact"/>
        <w:ind w:left="357" w:hanging="357"/>
        <w:jc w:val="both"/>
        <w:rPr>
          <w:rFonts w:ascii="微软雅黑" w:hAnsi="微软雅黑" w:eastAsia="微软雅黑" w:cs="微软雅黑"/>
          <w:color w:val="1F497D" w:themeColor="text2"/>
          <w:kern w:val="2"/>
          <w14:textFill>
            <w14:solidFill>
              <w14:schemeClr w14:val="tx2"/>
            </w14:solidFill>
          </w14:textFill>
        </w:rPr>
      </w:pPr>
      <w:r>
        <w:rPr>
          <w:rFonts w:hint="eastAsia" w:ascii="微软雅黑" w:hAnsi="微软雅黑" w:eastAsia="微软雅黑" w:cs="微软雅黑"/>
          <w:color w:val="1F497D" w:themeColor="text2"/>
          <w:kern w:val="2"/>
          <w14:textFill>
            <w14:solidFill>
              <w14:schemeClr w14:val="tx2"/>
            </w14:solidFill>
          </w14:textFill>
        </w:rPr>
        <w:t>检测流程：</w:t>
      </w:r>
    </w:p>
    <w:p>
      <w:pPr>
        <w:ind w:firstLine="360" w:firstLineChars="200"/>
        <w:jc w:val="both"/>
        <w:rPr>
          <w:rFonts w:ascii="微软雅黑" w:hAnsi="微软雅黑" w:eastAsia="微软雅黑" w:cs="微软雅黑"/>
          <w:sz w:val="18"/>
          <w:szCs w:val="18"/>
        </w:rPr>
      </w:pPr>
      <w:r>
        <w:rPr>
          <w:rFonts w:hint="eastAsia" w:ascii="微软雅黑" w:hAnsi="微软雅黑" w:eastAsia="微软雅黑" w:cs="微软雅黑"/>
          <w:kern w:val="2"/>
          <w:sz w:val="18"/>
          <w:szCs w:val="18"/>
        </w:rPr>
        <w:t>组织样本DNA提取 –&gt; 专利文库制备 –&gt; 深度测序 –&gt; 癌症大数据分析</w:t>
      </w:r>
    </w:p>
    <w:p>
      <w:pPr>
        <w:widowControl w:val="0"/>
        <w:numPr>
          <w:ilvl w:val="0"/>
          <w:numId w:val="3"/>
        </w:numPr>
        <w:spacing w:before="156" w:beforeLines="50" w:after="156" w:afterLines="50" w:line="400" w:lineRule="exact"/>
        <w:ind w:left="357" w:hanging="357"/>
        <w:jc w:val="both"/>
        <w:rPr>
          <w:rFonts w:ascii="微软雅黑" w:hAnsi="微软雅黑" w:eastAsia="微软雅黑" w:cs="微软雅黑"/>
          <w:color w:val="1F497D" w:themeColor="text2"/>
          <w:kern w:val="2"/>
          <w:sz w:val="18"/>
          <w:szCs w:val="18"/>
          <w14:textFill>
            <w14:solidFill>
              <w14:schemeClr w14:val="tx2"/>
            </w14:solidFill>
          </w14:textFill>
        </w:rPr>
      </w:pPr>
      <w:r>
        <w:rPr>
          <w:rFonts w:hint="eastAsia" w:ascii="微软雅黑" w:hAnsi="微软雅黑" w:eastAsia="微软雅黑" w:cs="微软雅黑"/>
          <w:color w:val="1F497D" w:themeColor="text2"/>
          <w:kern w:val="2"/>
          <w14:textFill>
            <w14:solidFill>
              <w14:schemeClr w14:val="tx2"/>
            </w14:solidFill>
          </w14:textFill>
        </w:rPr>
        <w:t>技术局限性</w:t>
      </w:r>
      <w:r>
        <w:rPr>
          <w:rFonts w:hint="eastAsia" w:ascii="微软雅黑" w:hAnsi="微软雅黑" w:eastAsia="微软雅黑" w:cs="微软雅黑"/>
          <w:color w:val="1F497D" w:themeColor="text2"/>
          <w:kern w:val="2"/>
          <w:sz w:val="18"/>
          <w:szCs w:val="18"/>
          <w14:textFill>
            <w14:solidFill>
              <w14:schemeClr w14:val="tx2"/>
            </w14:solidFill>
          </w14:textFill>
        </w:rPr>
        <w:t>：</w:t>
      </w:r>
    </w:p>
    <w:p>
      <w:pPr>
        <w:snapToGrid w:val="0"/>
        <w:spacing w:line="360" w:lineRule="auto"/>
        <w:ind w:firstLine="346" w:firstLineChars="192"/>
        <w:jc w:val="both"/>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本次检测只针对DNA水平，不涉及RNA水平以及蛋白水平的检测。组织样本中的DNA是包含大部分肿瘤DNA和正</w:t>
      </w:r>
    </w:p>
    <w:p>
      <w:pPr>
        <w:snapToGrid w:val="0"/>
        <w:spacing w:line="360" w:lineRule="auto"/>
        <w:ind w:firstLine="346" w:firstLineChars="192"/>
        <w:jc w:val="both"/>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常细胞gDNA，由于组织样本对DNA进行福尔马林固定，DNA会有不同程度的损失，而且组织本身存在肿瘤异质性</w:t>
      </w:r>
    </w:p>
    <w:p>
      <w:pPr>
        <w:rPr>
          <w:rFonts w:asciiTheme="majorEastAsia" w:hAnsiTheme="majorEastAsia" w:eastAsiaTheme="majorEastAsia"/>
          <w:b/>
          <w:color w:val="1D478C"/>
          <w:sz w:val="28"/>
          <w:szCs w:val="28"/>
        </w:rPr>
      </w:pPr>
      <w:r>
        <w:rPr>
          <w:rFonts w:hint="eastAsia" w:ascii="微软雅黑" w:hAnsi="微软雅黑" w:eastAsia="微软雅黑" w:cs="微软雅黑"/>
          <w:kern w:val="2"/>
          <w:sz w:val="18"/>
          <w:szCs w:val="18"/>
        </w:rPr>
        <w:t>的问题 ,所以没有检出不代表就一定没有突变。</w:t>
      </w:r>
    </w:p>
    <w:p>
      <w:pPr>
        <w:rPr>
          <w:rFonts w:asciiTheme="majorEastAsia" w:hAnsiTheme="majorEastAsia" w:eastAsiaTheme="majorEastAsia"/>
          <w:b/>
          <w:color w:val="1D478C"/>
          <w:sz w:val="28"/>
          <w:szCs w:val="28"/>
        </w:rPr>
      </w:pPr>
    </w:p>
    <w:p>
      <w:pPr>
        <w:rPr>
          <w:rFonts w:asciiTheme="majorEastAsia" w:hAnsiTheme="majorEastAsia" w:eastAsiaTheme="majorEastAsia"/>
          <w:b/>
          <w:color w:val="1D478C"/>
          <w:sz w:val="28"/>
          <w:szCs w:val="28"/>
        </w:rPr>
      </w:pPr>
    </w:p>
    <w:p>
      <w:pPr>
        <w:rPr>
          <w:rFonts w:asciiTheme="majorEastAsia" w:hAnsiTheme="majorEastAsia" w:eastAsiaTheme="majorEastAsia"/>
          <w:b/>
          <w:color w:val="1D478C"/>
          <w:sz w:val="28"/>
          <w:szCs w:val="28"/>
        </w:rPr>
      </w:pPr>
    </w:p>
    <w:p>
      <w:pPr>
        <w:rPr>
          <w:rFonts w:asciiTheme="majorEastAsia" w:hAnsiTheme="majorEastAsia" w:eastAsiaTheme="majorEastAsia"/>
          <w:b/>
          <w:color w:val="1D478C"/>
          <w:sz w:val="28"/>
          <w:szCs w:val="28"/>
        </w:rPr>
      </w:pPr>
      <w:bookmarkStart w:id="46" w:name="_GoBack"/>
    </w:p>
    <w:bookmarkEnd w:id="46"/>
    <w:p>
      <w:pPr>
        <w:rPr>
          <w:rFonts w:asciiTheme="majorEastAsia" w:hAnsiTheme="majorEastAsia" w:eastAsiaTheme="majorEastAsia"/>
          <w:b/>
          <w:color w:val="1D478C"/>
          <w:sz w:val="28"/>
          <w:szCs w:val="28"/>
        </w:rPr>
      </w:pPr>
    </w:p>
    <w:p>
      <w:pPr>
        <w:rPr>
          <w:rFonts w:asciiTheme="majorEastAsia" w:hAnsiTheme="majorEastAsia" w:eastAsiaTheme="majorEastAsia"/>
          <w:b/>
          <w:color w:val="1D478C"/>
          <w:sz w:val="28"/>
          <w:szCs w:val="28"/>
        </w:rPr>
      </w:pPr>
    </w:p>
    <w:tbl>
      <w:tblPr>
        <w:tblStyle w:val="22"/>
        <w:tblW w:w="8522" w:type="dxa"/>
        <w:tblInd w:w="0" w:type="dxa"/>
        <w:tblBorders>
          <w:top w:val="dotDotDash" w:color="auto"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DotDash" w:color="auto" w:sz="6" w:space="0"/>
            <w:left w:val="none" w:color="auto" w:sz="0" w:space="0"/>
            <w:bottom w:val="none" w:color="auto" w:sz="0" w:space="0"/>
            <w:right w:val="none" w:color="auto" w:sz="0" w:space="0"/>
            <w:insideH w:val="none" w:color="auto" w:sz="0" w:space="0"/>
            <w:insideV w:val="none" w:color="auto" w:sz="0" w:space="0"/>
          </w:tblBorders>
          <w:tblLayout w:type="fixed"/>
        </w:tblPrEx>
        <w:tc>
          <w:tcPr>
            <w:tcW w:w="8522" w:type="dxa"/>
          </w:tcPr>
          <w:p>
            <w:pPr>
              <w:rPr>
                <w:rFonts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t>声明：</w:t>
            </w:r>
          </w:p>
        </w:tc>
      </w:tr>
      <w:tr>
        <w:tblPrEx>
          <w:tblBorders>
            <w:top w:val="dotDotDash" w:color="auto"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Pr>
          <w:p>
            <w:pPr>
              <w:pStyle w:val="29"/>
              <w:widowControl/>
              <w:numPr>
                <w:numId w:val="0"/>
              </w:numPr>
              <w:spacing w:line="240" w:lineRule="exact"/>
              <w:ind w:leftChars="0"/>
              <w:jc w:val="left"/>
              <w:rPr>
                <w:rFonts w:hint="eastAsia"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18"/>
                <w:szCs w:val="18"/>
                <w14:textFill>
                  <w14:solidFill>
                    <w14:schemeClr w14:val="tx1">
                      <w14:lumMod w14:val="85000"/>
                      <w14:lumOff w14:val="15000"/>
                    </w14:schemeClr>
                  </w14:solidFill>
                </w14:textFill>
              </w:rPr>
              <w:t>${detect_process_declaration}</w:t>
            </w:r>
          </w:p>
        </w:tc>
      </w:tr>
    </w:tbl>
    <w:p>
      <w:pPr>
        <w:rPr>
          <w:rFonts w:asciiTheme="majorEastAsia" w:hAnsiTheme="majorEastAsia" w:eastAsiaTheme="majorEastAsia"/>
          <w:b/>
          <w:color w:val="1D478C"/>
          <w:sz w:val="28"/>
          <w:szCs w:val="28"/>
        </w:rPr>
      </w:pPr>
      <w:r>
        <w:rPr>
          <w:rFonts w:asciiTheme="majorEastAsia" w:hAnsiTheme="majorEastAsia" w:eastAsiaTheme="majorEastAsia"/>
          <w:b/>
          <w:color w:val="1D478C"/>
          <w:sz w:val="28"/>
          <w:szCs w:val="28"/>
        </w:rPr>
        <w:br w:type="page"/>
      </w:r>
    </w:p>
    <w:bookmarkEnd w:id="20"/>
    <w:p>
      <w:pPr>
        <w:pStyle w:val="2"/>
        <w:rPr>
          <w:rFonts w:ascii="微软雅黑" w:hAnsi="微软雅黑" w:eastAsia="微软雅黑"/>
          <w:b w:val="0"/>
          <w:sz w:val="36"/>
          <w:szCs w:val="36"/>
        </w:rPr>
      </w:pPr>
      <w:bookmarkStart w:id="37" w:name="_Toc487814227"/>
      <w:bookmarkStart w:id="38" w:name="_Toc459026915"/>
      <w:r>
        <w:rPr>
          <w:rFonts w:hint="eastAsia" w:ascii="微软雅黑" w:hAnsi="微软雅黑" w:eastAsia="微软雅黑"/>
          <w:b w:val="0"/>
          <w:sz w:val="36"/>
          <w:szCs w:val="36"/>
        </w:rPr>
        <w:t>参考文献</w:t>
      </w:r>
      <w:bookmarkEnd w:id="37"/>
      <w:bookmarkEnd w:id="38"/>
    </w:p>
    <w:p>
      <w:pPr>
        <w:pStyle w:val="60"/>
        <w:numPr>
          <w:ilvl w:val="0"/>
          <w:numId w:val="4"/>
        </w:numPr>
        <w:ind w:firstLineChars="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Janku F, Hong D S, Fu S, et al. Assessing PIK3CA and PTEN in early-phase trials with PI3K/AKT/mTOR inhibitors[J]. Cell reports, 2014, 6(2): 377-387.</w:t>
      </w:r>
    </w:p>
    <w:p>
      <w:pPr>
        <w:pStyle w:val="60"/>
        <w:numPr>
          <w:ilvl w:val="0"/>
          <w:numId w:val="4"/>
        </w:numPr>
        <w:ind w:firstLineChars="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Gilbert M R, Dignam J J, Armstrong T S, et al. A randomized trial of bevacizumab for newly diagnosed glioblastoma[J]. New England Journal of Medicine, 2014, 370(8): 699-708.</w:t>
      </w:r>
    </w:p>
    <w:p>
      <w:pPr>
        <w:pStyle w:val="60"/>
        <w:numPr>
          <w:ilvl w:val="0"/>
          <w:numId w:val="4"/>
        </w:numPr>
        <w:ind w:firstLineChars="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Chinot O L, Wick W, Mason W, et al. Bevacizumab plus radiotherapy–temozolomide for newly diagnosed glioblastoma[J]. New England Journal of Medicine, 2014, 370(8): 709-722.</w:t>
      </w:r>
    </w:p>
    <w:p>
      <w:pPr>
        <w:pStyle w:val="60"/>
        <w:numPr>
          <w:ilvl w:val="0"/>
          <w:numId w:val="4"/>
        </w:numPr>
        <w:ind w:firstLineChars="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Beug S T, Beauregard C E, Healy C, et al. Smac mimetics synergize with immune checkpoint inhibitors to promote tumour immunity against glioblastoma[J]. Nature Communications, 2017, 8.</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Katayama R, et al Therapeutic strategies to overcome crizotinib resistance in non-small cell lung cancers harboring the fusion oncogene EML4-ALK Proceedings of the National Academy of Sciences, 2011, 108(18): 7535-7540</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Katayama R, et al Mechanisms of acquired crizotinib resistance in ALK-rearranged lung cancers Science translational medicine, 2012, 4(120): 120ra17-120ra17</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Lipson, D, et al Identification of new ALK and RET gene fusions from colorectal and lung cancer biopsies Nature medicine, 2012, 18(3): 382-384</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Doebele R C, et al Mechanisms of resistance to crizotinib in patients with ALK gene rearranged non-small cell lung cancer Clinical Cancer Research,2012, 18(5): 1472-1482</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Sasaki T, et al The neuroblastoma-associated F1174L ALK mutation causes resistance to an ALK kinase inhibitor in ALK- translocated cancers Cancer Research, 2010, 70(24): 10038-10043</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Choi Y L, et al EML4-ALK mutations in lung cancer that confer resistance to ALK inhibitors New England Journal of Medicine, 2010, 363(18): 1734-1739</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Kim D W, et al Ceritinib in advanced anaplastic lymphoma kinase (ALK)-rearranged (ALK+) non-small cell lung cancer (NSCLC): Results of the ASCEND-1 trial[C]//ASCO Annual Meeting Proceedings 2014, 32(15_suppl): 8003</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Shaw A T, et al Clinical features and outcome of patients with non–small-cell lung cancer who harbor EML4-ALK[J] Journal of clinical oncology, 2009,27(26): 4247-4253</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Sequist L V, et al Activity of IPI-504, a novel heat-shock protein 90 inhibitor, in patients with molecularly defined non–small-cell lung cancer[J] Journalof Clinical Oncology, 2010: JCO</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Socinski M A, et al A multicenter phase II study of ganetespib monotherapy in patients with genotypically defined advanced non–small cell lung cancer[J]Clinical cancer research, 2013, 19(11): 3068-3077</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Hofman V, et al Usefulness of Immunocytochemistry for the Detection of the BRAF V600E Mutation in Circulating Tumor Cells from Metastatic Melanoma Patients Journal of Investigative Dermatology, 2013, 133(5): 1378-1381</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Corcoran R B, et al EGFR-mediated reactivation of MAPK signaling contributes to insensitivity of BRAF-mutant colorectal cancers to RAF inhibition with vemurafenib Cancer discovery, 2012, 2(3): 227-235</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Shi H, et al Melanoma whole-exome sequencing identifies V600EB-RAF amplification mediated acquired B-RAF inhibitor resistance Nature communications,2012, 3: 724</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De Roock W, et al Effects of KRAS, BRAF, NRAS, and PIK3CA mutations on the efficacy of cetuximab plus chemotherapy in chemotherapy-refractory metastatic colorectal cancer: a retrospective consortium analysis The lancet oncology, 2010, 11(8):</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Flaherty K T, et al Combined BRAF and MEK inhibition in melanoma with BRAF V600 mutations New England Journal of Medicine, 2012, 367(18):1694-1703</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Gautschi O, et al A patient with BRAF V600E lung adenocarcinoma responding to vemurafenib Journal of Thoracic Oncology, 2012, 7(10): e23-e24</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Heidorn, S J, et al Kinase-dead BRAF and oncogenic RAS cooperate to drive tumor progression through CRAF Cell, 2010, 140(2): 209-221</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Joensuu H, et al Vatalanib for metastatic gastrointestinal stromal tumour (GIST) resistant to imatinib: final results of a phase II study British journal of cancer, 2011, 104(11): 1686-1690</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Kopetz S, et al Phase II trial of infusional fluorouracil, irinotecan, and bevacizumab for metastatic colorectal cancer: efficacy and circulating angiogenic biomarkers associated with therapeutic resistance Journal of Clinical Oncology, 2010,</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Prahallad A, et al Unresponsiveness of colon cancer to BRAF (V600E) inhibition through feedback activation of EGFR Nature, 2012, 483(7388): 100-103</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Rubinstein J C, et al Incidence of the V600K mutation among melanoma patients with BRAF mutations, and potential therapeutic response to the specific BRAF inhibitor PLX4032 J Transl Med, 2010, 8(67): 10</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Sen, B, et al Kinase-impaired BRAF mutations in lung cancer confer sensitivity to dasatinib Science translational medicine, 2012, 4(136): 136ra70-136ra70</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Sosman J A, et al Survival in BRAF V600–mutant advanced melanoma treated with vemurafenib New England Journal of Medicine, 2012, 366(8):707-714</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Heinrich M C, et al Primary and secondary kinase genotypes correlate with the biological and clinical activity of sunitinib in imatinib-resistant gastrointestinal stromal tumor[J] Journal of Clinical Oncology, 2008, 26(33): 5352-5359</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Kindler H L, et al Sorafenib (SOR) in patients (pts) with imatinib (IM) and sunitinib (SU)-resistant (RES) gastrointestinal stromal tumors (GIST): final</w:t>
      </w:r>
      <w:r>
        <w:rPr>
          <w:rFonts w:ascii="Times New Roman" w:hAnsi="Times New Roman" w:cs="Times New Roman"/>
          <w:color w:val="222222"/>
          <w:shd w:val="clear" w:color="auto" w:fill="FFFFFF"/>
        </w:rPr>
        <w:t xml:space="preserve"> </w:t>
      </w:r>
      <w:r>
        <w:rPr>
          <w:rFonts w:hint="eastAsia" w:ascii="Times New Roman" w:hAnsi="Times New Roman" w:cs="Times New Roman"/>
          <w:color w:val="222222"/>
          <w:shd w:val="clear" w:color="auto" w:fill="FFFFFF"/>
        </w:rPr>
        <w:t>results of a University of Chicago Phase II Consortium trial[C] ASCO Annual Meeting Proce</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Demetri G D, et al Efficacy and safety of regorafenib for advanced gastrointestinal stromal tumours after failure of imatinib and sunitinib (GRID): an international, multicentre, randomised, placebo-controlled, phase 3 trial[J] The Lancet, 20</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Flaherty K T, et al Improved survival with MEK inhibition in BRAF-mutated melanoma[J] New England Journal of Medicine, 2012, 367(2): 107-114</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Falchook G S, et al Activity of the oral MEK inhibitor trametinib in patients with advanced melanoma: a phase 1 dose-escalation trial[J] The lancet oncology, 2012, 13(8): 782-789</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Long G V, et al Combined BRAF and MEK inhibition versus BRAF inhibition alone in melanoma[J] New England Journal of Medicine, 2014, 371(20):1877-1888</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Hammerman P S, et al Mutations in the DDR2 kinase gene identify a novel therapeutic target in squamous cell lung cancer[J] Cancer discovery, 2011,1(1): 78-89</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Day E, et al Inhibition of collagen-induced discoidin domain receptor 1 and 2 activation by imatinib, nilotinib and dasatinib[J] European journal of pharmacology, 2008, 599(1): 44-53</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Pitini V, et al Response to dasatinib in a patient with SQCC of the lung harboring a discoid-receptor-2 and synchronous chronic myelogenous leukemia[J] Lung Cancer, 2013, 82(1): 171-172</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Costa C, et al The impact of EGFR T790M mutations and BIM mRNA expression on outcome in patients with EGFR-mutant NSCLC treated with erlotinib or chemotherapy in the randomized phase III EURTAC trial Clinical Cancer Research, 2014, 20(7): 2001-2010</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Fukuoka M, et al Biomarker analyses and final overall survival results from a phase III, randomized, open-label, first-line study of gefitinib versus carboplatin/paclitaxel in clinically selected patients with advanced non–small-cell lung cance</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Maemondo M, et al Gefitinib or chemotherapy for non–small-cell lung cancer with mutated EGFR New England Journal of Medicine, 2010, 362(25):2380-2388</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Mitsudomi T, et al Gefitinib versus cisplatin plus docetaxel in patients with non-small-cell lung cancer harbouring mutations of the epidermal growth factor receptor (WJTOG3405): an open label, randomised phase 3 trial The lancet oncology, 201</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Mitsudomi, et al Epidermal growth factor receptor in relation to tumor development: EGFR gene and cancer FEBS journal, 2010, 277(2): 301-308</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Oxnard G R,et al Brief report: screening for germline EGFR T790M mutations through lung cancer genotypingJournal of Thoracic Oncology, 2012,7(6): 1049</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Rosell R, et al Erlotinib versus standard chemotherapy as first-line treatment for European patients with advanced EGFR mutation- positive non-small-cell lung cancer (EURTAC): a multicentre, open-label, randomized phase 3 trial The lancet oncolo</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Sequist, et al Genotypic and histological evolution of lung cancers acquiring resistance to EGFR inhibitors”Science translational medicine 2011, 3(75):75ra26-75ra26</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Sequist, et al Phase III study of afatinib or cisplatin plus pemetrexed in patients with metastatic lung adenocarcinoma with EGFR mutations Journal of Clinical Oncology, 2013, 31(27): 3327-3334</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Zhou, et al Erlotinib versus chemotherapy as firstline treatment for patients with advanced EGFR mutation-positive non-small-cell lung cancer (OPTIMAL, CTONG-0802): a multicentre, open-label, randomised, phase 3 study The lancet oncology, 2011,</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Su, et al Pretreatment epidermal growth factor receptor (EGFR) T790M mutation predicts shorter EGFR tyrosine kinase inhibitor response duration in patients with non–small-cell lung cancer Journal of Clinical Oncology, 2012, 30(4): 433-440</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Yasuda, et al EGFR exon 20 insertion mutations in non-small-cell lung cancer: preclinical data and clinical implications”The lancet oncology, 2012,13(1): e23-e31</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Chen, et al EGFR mutation heterogeneity and the mixed response to EGFR tyrosine kinase inhibitors of lung adenocarcinomas The oncologist, 2012,17(7): 978-985</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Zhou, et al Erlotinib versus chemotherapy as firstline treatment for patients with advanced EGFR mutation-positive non-small-cell lung cancer (OPTIMAL, CTONG-0802): a multicentre, open-label, randomised, phase 3 study The lancet oncology, 2011.</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Soria J C, et al Phase I safety, pharmacokinetic and pharmacodynamic trial of BMS-599626 (AC480), an oral pan-HER receptor tyrosine kinase inhibitor, in patients with advanced solid tumors Annals of Oncology, 2011: mdr137</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Stasi I, et al Second generation tyrosine kinase inhibitors for the treatment of metastatic non-small-cell lung cancer Translational Respiratory Medicine 2014, 2(1): 2</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Majem M, et al An update on molecularly targeted therapies in second- and third-line treatment in non-small cell lung cancer: focus on EGFR inhibitors and anti-angiogenic agents Clinical &amp; Translational Oncology, 2013, 15(5): 343-357</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Gozgit J M, et al Ponatinib (AP24534), a multitargeted pan-FGFR inhibitor with activity in multiple FGFR-amplified or mutated cancer models Mol Cancer Ther, 2012, 11(3): 690-699</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Bai A, et al GP369, an FGFR2-IIIb-specific antibody, exhibits potent antitumor activity against human cancers driven by activated FGFR2 signaling Cancer Res, 2010, 70(19): 7630-7639</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Kalinec G, et al GTPase inhibiting mutations activate the alpha chain of Gs and stimulate adenylyl cyclase in human pituitary tumours Nature, 1989, 340(6236): 692-696</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Landis CA, et al Mutated alpha subunit of the Gq protein induces malignant transformation in NIH 3T3 cells Mol Cell Biol, 1992, 12(10): 4687-4693</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Van Raamsdonk C D, et al Frequent somatic mutations of GNAQ in uveal melanoma and blue naevi Nature, 2009, 457(7229): 599-602</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Wolff A C, Hammond M E H, Hicks D G, et al. Recommendations for human epidermal growth factor receptor 2 testing in breast cancer: American Society of Clinical Oncology/College of American Pathologists clinical practice guideline update[J]. Journal of clinical oncology, 2013, 31(31): 3997-4013.</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Burstein, et al Neratinib, an irreversible ErbB receptor tyrosine kinase inhibitor, in patients with advanced ErbB2-positive breast cancer Journal of clinical oncology, 2010, 28(8): 1301-1307</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De Greve J, et al Clinical activity of afatinib (BIBW 2992) in patients with lung adenocarcinoma with mutations in the kinase domain of HER2/neu Lung Cancer, 2012, 76(1): 123-127</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Arcila, et al Prevalence, clinicopathologic associations, and molecular spectrum of ERBB2 (HER2) tyrosine kinase mutations in lung adenocarcinomas Clinical Cancer Research, 2012, 18(18): 4910-4918</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Julien M, et al Lung Cancer That Harbors a HER2 Mutation: Epidemiologic Characteristics and Therapeutic Perspectives JOURNAL OF CLINICAL ONCOLOGY, 2013, 1-8</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Nikiforov Y E, et al Molecular diagnostics of thyroid tumors Arch Pathol Lab Med, 2011, 135(5): 569-77</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Buti S, et al Impressive response with imatinib in a heavily pretreated patient with metastatic c-KIT mutated thymic carcinoma Journal of Clinical Oncology, 2011, 29(33): e803-e805</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Carvajal R D, et al Panageas et al KIT as a therapeutic target in metastatic melanoma Jama, 2011, 305(22): 2327-2334</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Corless C L, et al Relation of tumor pathologic and molecular features to outcome after surgical resection of localized primary gastrointestinal stromal tumor (GIST): results of the intergroup phase III trial ACOSOG Z9001 J Clin Oncol 2010,</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Disel, et al Promising efficacy of sorafenib in a relapsed thymic carcinoma with C-KIT exon 11 deletion mutation Lung Cancer, 2011, 71(1): 109-112</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Joensuu H F, et al Vatalanib for metastatic gastrointestinal stromal tumour (GIST) resistant to imatinib: final results of a phase II study British journal of cancer, 2011, 104(11): 1686-1690</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Kong Yan, et al Large-scale analysis of KIT aberrations in Chinese patients with melanoma Clinical Cancer Research, 2011, 17(7): 1684-1691</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Park, et al Prognostic impact of c-KIT mutations in core binding factor acute myeloid leukemia Leukemia research, 2011, 10: 1376-1383</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Terheyden, et al Response to imatinib mesylate depends on the presence of the V559A-mutated KIT oncogene Journal of Investigative Dermatology, 2010, 130(1): 314-316</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Y Zhu, et al Response to sunitinib in Chinese KIT-mutated metastatic mucosal melanoma ASCO Annual Meeting, 2009</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Minor D R, et al Sunitinib therapy for melanoma patients with KIT mutations Clin Cancer Res, 2012, 18(5): 1457-1463</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Guo T, et al Sorafenib inhibits the imatinib-resistant KIT T670I gatekeeper mutation in gastrointestinal stromal tumor Clin Cancer Res, 2007, 13(16):4874-81</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Bokemeyer C, et al Efficacy according to biomarker status of cetuximab plus FOLFOX-4 as first-line treatment for metastatic colorectal cancer: the OPUS study Annals of Oncology, 2011, 22(7): 1535-1546</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De Roock, et al Effiects of KRAS, BRAF, NRAS, and PIK3CA mutations on the efficacy of cetuximab plus chemotherapy in chemotherapy-refractory metastatic colorectal cancer: a retrospective consortium analysis The lancet oncology, 2010, 11(8): 75</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Douillard, et al Randomized, phase III trial of panitumumab with infusional fluorouracil, leucovorin, and oxaliplatin (FOLFOX4) versus FOLFOX4 alone as first-line treatment in patients with previously untreated metastatic colorectal cancer: the PRIME study.J Clin Oncol.</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Peeters, et al Randomized phase III study of panitumumab with fluorouracil, leucovorin, and irinotecan (FOLFIRI) compared with FOLFIRI alone as second-line treatment in patients with metastatic colorectal cancer Journal of Clinical Oncology,</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Van C, et al Cetuximab plus irinotecan, fluorouracil, and leucovorin as first-line treatment for metastatic colorectal cancer: updated analysis of overall survival according to tumor KRAS and BRAF mutation status Journal of Clinical Oncology,</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Kumar S S, et al KRAS G13D mutation and sensitivity to cetuximab or panitumumab in a colorectal cancer cell line model[J] Gastrointestinal cancer research: GCR, 2014, 7(1): 23</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Tural D, et al Association KRAS G13D tumor mutated outcome in patients with chemotherapy refractory metastatic colorectal cancer treated with cetuximab[J] Hepato-gastroenterology, 2012, 60(125): 1035-1040</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Kishiki T, et al Impact of genetic profiles on the efficacy of anti-EGFR antibodies in metastatic colorectal cancer with KRAS mutation[J] Oncology reports, 2014, 32(1): 57-64</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Caroline M E, et al MEK1 mutations confer resistance to MEK and B-RAF inhibition Proc Natl Acad Sci U S A, 2009, 106(48): 20411–20416</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Marks J L, et al Novel MEK1 mutation identified by mutational analysis of epidermal growth factor receptor signaling pathway genes in lung adenocarcinoma Cancer Research, 2008, 68(14): 5524-5528</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Go, et al High MET gene copy number leads to shorter survival in patients with non-small cell lung cancer Journal of Thoracic Oncology, 2010, 5(3): 305-313</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Ou, et al Activity of crizotinib (PF02341066), a dual mesenchymal-epithelial transition (MET) and anaplastic lymphoma kinase (ALK) inhibitor, in a non-small cell lung cancer patient with de novo MET amplification Journal of Thoracic Oncology,</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Sequist, et al Genotypic and histological evolution of lung cancers acquiring resistance to EGFR inhibitors Science translational medicine, 2011, 3(75):75ra26-75ra26</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Tanizaki, et al MET tyrosine kinase inhibitor crizotinib (PF-02341066) shows differential antitumor effects in non-small cell lung cancer according to MET alterations Journal of Thoracic Oncology 2011, 6(10): 1624-1631</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Turke Alexa B, et al Preexistence and Clonal Selection of MET Amplification in EGFR Mutant NSCLC Cancer cell, 2010, 17(1): 77-88</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Ascierto Paolo A, et al MEK162 for patients with advanced melanoma harbouring NRAS or Val600 BRAF mutations: a non- randomised, open-label phase 2 study The lancet oncology, 2013, 14(3): 249-256</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De Mattos-Arruda, et al Development of molecular biomarkers in individualized treatment of colorectal cancer Clinical colorectal cancer, 2011, 10(4):279-289</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De Roock, et al Effects of KRAS, BRAF, NRAS, and PIK3CA mutations on the efficacy of cetuximab plus chemotherapy in chemotherapy-refractory metastatic colorectal cancer: a retrospective consortium analysis The lancet oncology, 2010, 11(8): 75</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Hatzivassiliou, et al RAF inhibitors prime wild-type RAF to activate the MAPK pathway and enhance growth Nature, 2010, 464(7287): 431-435</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Ho, et al Selumetinib-enhanced radioiodine uptake in advanced thyroid cancer New England Journal of Medicine, 2013, 368(7): 623-632</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Nazarian, et al Melanomas acquire resistance to B-RAF (V600E) inhibition by RTK or NRAS upregulation Nature, 2010, 468(7326): 973-977</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Demetri G D, et al Efficacy and safety of regorafenib for advanced gastrointestinal stromal tumours after failure of imatinib and sunitinib (GRID): an international, multicentre, randomised, placebo-controlled, phase 3 trial Lancet, 2013, 381</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Heinrich MC, et al Primary and secondary kinase genotypes correlate with the biological and clinical activity of sunitinib in imatinib-resistant gastrointestinal stromal tumor J Clin Oncol, 2008, 26(33): 5352-5359</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Kindler H L, et al Sorafenib (SOR) in patients (pts) with imatinib (IM) and sunitinib (SU)-resistant (RES) gastrointestinal stromal tumors (GIST): Final results of a University of Chicago Phase II Consortium trial 2011, ASCO Annual Meeting</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Schittenhelm M M, et al Dasatinib (BMS-354825), a dual SRC/ABL kinase inhibitor, inhibits the kinase activity of wild-type, juxtamembrane, and activation loop mutant KIT isoforms associated with human malignancies Cancer Res, 2006,</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Liao X, et al Aspirin use, tumor PIK3CA mutation, and colorectal- cancer survival N Engl J Med, 2012, 367(17): 1596-1606</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Courtney K D, Corcoran R B, Engelman J A The PI3K pathway as drug target in human cancer[J] Journal of Clinical Oncology, 2010, 28(6): 1075-1083</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Sequist L V, et al Genotypic and histological evolution of lung cancers acquiring resistance to EGFR inhibitors[J] Science transla- tional medicine, 2011,3(75): 75ra26-75ra26</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Neshat M S, et al Enhanced sensitivity of PTEN-deficient tumors to inhibition of FRAP/mTOR[J] Proceedings of the National Academy of Sciences,2001, 98(18): 10314-10319</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Laurent-Puig P, et al Analysis of PTEN, BRAF, and EGFR status in determining benefit from cetuximab therapy in wild-type KRAS metastatic colon cancer[J] Journal of Clinical Oncology, 2009, 27(35): 5924-5930</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Loupakis F, et al PTEN expression and KRAS mutations on primary tumors and metastases in the prediction of benefit from cetuximab plus irinotecan for patients with metastatic colorectal cancer[J] Journal of Clinical Oncology, 2009,</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Sartore-Bianchi A, et al Multi-determinants analysis of molecular alterations for predicting clinical benefit to EGFR-targeted monoclonal antibodies in colorectal cancer[J] PloS one, 2009, 4(10): e7287</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De Roock W, et al KRAS, BRAF, PIK3CA, and PTEN mutations: implications for targeted therapies in metastatic colorectal cancer Lancet Oncol, 2011, 12(6): 594-603</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Drilon A, et al Response to Cabozantinib in patients with RET fusion- positive lung adenocarcinomas Cancer Discov, 2013, 3(6): 630-635</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Gautschi, et al A patient with lung adenocarcinoma and RET fusion treated with vandetanib Journal of Thoracic Oncology, 2013, 8(5): e43-e44</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Lam, et al Phase II clinical trial of sorafenib in metastatic medullary thyroid cancer Journal of Clinical Oncology, 2010, 28(14): 2323-2330</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Takeuchi, et al RET, ROS1 and ALK fusions in lung cancer Nature medicine, 2012, 18(3): 378-381</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Yasuda, et al Preclinical rationale for use of the clinically available multitargeted tyrosine kinase inhibitor crizotinib in ROS1- translocated lung cancer Journal of thoracic oncology: official publication of the International Ass</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Bergethon, et al ROS1 rearrangements define a unique molecular class of lung cancers Journal of clinical oncology, 2012, 30(8): 863-870</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Davies, et al Identifying and targeting ROS1 gene fusions in non杝mall cell lung cancer Clinical cancer research, 2012, 18(17): 4570-4579</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Metcalfe, et al Hedgehog fights back: mechanisms of acquired resistance against Smoothened antagonists Cancer research 2011, 71(15): 5057-5061</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Rudin, et al Vismodegib Clinical Cancer Research, 2012, 18(12): 3218-3222</w:t>
      </w:r>
    </w:p>
    <w:p>
      <w:pPr>
        <w:pStyle w:val="60"/>
        <w:numPr>
          <w:ilvl w:val="0"/>
          <w:numId w:val="4"/>
        </w:numPr>
        <w:ind w:firstLineChars="0"/>
        <w:jc w:val="both"/>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Iyer, et al Genome sequencing identifies a basis for everolimus sensitivity Science, 2012, 338(6104): 221-221</w:t>
      </w:r>
    </w:p>
    <w:p>
      <w:pPr>
        <w:pStyle w:val="60"/>
        <w:numPr>
          <w:ilvl w:val="0"/>
          <w:numId w:val="4"/>
        </w:numPr>
        <w:ind w:firstLineChars="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Sjödahl G,</w:t>
      </w:r>
      <w:r>
        <w:rPr>
          <w:rFonts w:hint="eastAsia" w:ascii="Times New Roman" w:hAnsi="Times New Roman" w:cs="Times New Roman"/>
          <w:color w:val="222222"/>
          <w:shd w:val="clear" w:color="auto" w:fill="FFFFFF"/>
        </w:rPr>
        <w:t xml:space="preserve"> et al A systematic study of gene mutations in urothelial carcinoma; inactivating mutations in TSC2 and PIK3R1 PLoS One, 2011, 6(4): e18583</w:t>
      </w:r>
    </w:p>
    <w:p>
      <w:pPr>
        <w:jc w:val="both"/>
        <w:rPr>
          <w:rFonts w:ascii="微软雅黑" w:hAnsi="微软雅黑" w:eastAsia="微软雅黑" w:cs="微软雅黑"/>
          <w:sz w:val="18"/>
          <w:szCs w:val="18"/>
        </w:rPr>
        <w:sectPr>
          <w:footerReference r:id="rId9" w:type="first"/>
          <w:footerReference r:id="rId8" w:type="default"/>
          <w:pgSz w:w="11850" w:h="16783"/>
          <w:pgMar w:top="1440" w:right="1080" w:bottom="1440" w:left="1080" w:header="851" w:footer="992" w:gutter="0"/>
          <w:pgNumType w:start="1"/>
          <w:cols w:space="425" w:num="1"/>
          <w:titlePg/>
          <w:docGrid w:type="lines" w:linePitch="312" w:charSpace="0"/>
        </w:sect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p>
    <w:p>
      <w:pPr>
        <w:jc w:val="both"/>
        <w:rPr>
          <w:rFonts w:ascii="微软雅黑" w:hAnsi="微软雅黑" w:eastAsia="微软雅黑" w:cs="微软雅黑"/>
          <w:sz w:val="18"/>
          <w:szCs w:val="18"/>
        </w:rPr>
      </w:pPr>
      <w:r>
        <w:rPr>
          <w:rFonts w:hint="eastAsia" w:ascii="微软雅黑" w:hAnsi="微软雅黑" w:eastAsia="微软雅黑" w:cs="微软雅黑"/>
          <w:sz w:val="18"/>
          <w:szCs w:val="18"/>
        </w:rPr>
        <w:drawing>
          <wp:anchor distT="0" distB="0" distL="114300" distR="114300" simplePos="0" relativeHeight="251666432" behindDoc="1" locked="0" layoutInCell="1" allowOverlap="1">
            <wp:simplePos x="0" y="0"/>
            <wp:positionH relativeFrom="column">
              <wp:posOffset>0</wp:posOffset>
            </wp:positionH>
            <wp:positionV relativeFrom="paragraph">
              <wp:posOffset>83185</wp:posOffset>
            </wp:positionV>
            <wp:extent cx="1270635" cy="1270635"/>
            <wp:effectExtent l="0" t="0" r="0" b="0"/>
            <wp:wrapThrough wrapText="bothSides">
              <wp:wrapPolygon>
                <wp:start x="648" y="1295"/>
                <wp:lineTo x="648" y="20726"/>
                <wp:lineTo x="20726" y="20726"/>
                <wp:lineTo x="20726" y="1295"/>
                <wp:lineTo x="648" y="1295"/>
              </wp:wrapPolygon>
            </wp:wrapThrough>
            <wp:docPr id="56" name="图片 56" descr="58352293181004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583522931810047197"/>
                    <pic:cNvPicPr>
                      <a:picLocks noChangeAspect="1"/>
                    </pic:cNvPicPr>
                  </pic:nvPicPr>
                  <pic:blipFill>
                    <a:blip r:embed="rId15"/>
                    <a:stretch>
                      <a:fillRect/>
                    </a:stretch>
                  </pic:blipFill>
                  <pic:spPr>
                    <a:xfrm>
                      <a:off x="0" y="0"/>
                      <a:ext cx="1270635" cy="1270635"/>
                    </a:xfrm>
                    <a:prstGeom prst="rect">
                      <a:avLst/>
                    </a:prstGeom>
                  </pic:spPr>
                </pic:pic>
              </a:graphicData>
            </a:graphic>
          </wp:anchor>
        </w:drawing>
      </w:r>
    </w:p>
    <w:p>
      <w:pPr>
        <w:spacing w:line="360" w:lineRule="exact"/>
        <w:rPr>
          <w:rFonts w:ascii="微软雅黑" w:hAnsi="微软雅黑" w:eastAsia="微软雅黑" w:cs="微软雅黑"/>
          <w:color w:val="7F7F7F" w:themeColor="background1" w:themeShade="80"/>
          <w:position w:val="-6"/>
        </w:rPr>
      </w:pPr>
      <w:r>
        <w:rPr>
          <w:rFonts w:hint="eastAsia" w:ascii="微软雅黑" w:hAnsi="微软雅黑" w:eastAsia="微软雅黑" w:cs="微软雅黑"/>
          <w:color w:val="7F7F7F" w:themeColor="background1" w:themeShade="80"/>
          <w:position w:val="-6"/>
        </w:rPr>
        <w:t>深圳市南山区高新北区松坪山路1号源兴科技大厦南座1106号</w:t>
      </w:r>
    </w:p>
    <w:p>
      <w:pPr>
        <w:spacing w:line="360" w:lineRule="exact"/>
        <w:rPr>
          <w:rFonts w:ascii="微软雅黑" w:hAnsi="微软雅黑" w:eastAsia="微软雅黑" w:cs="微软雅黑"/>
          <w:color w:val="7F7F7F" w:themeColor="background1" w:themeShade="80"/>
          <w:position w:val="-6"/>
        </w:rPr>
      </w:pPr>
      <w:r>
        <w:rPr>
          <w:rFonts w:hint="eastAsia" w:ascii="微软雅黑" w:hAnsi="微软雅黑" w:eastAsia="微软雅黑" w:cs="微软雅黑"/>
          <w:color w:val="7F7F7F" w:themeColor="background1" w:themeShade="80"/>
          <w:position w:val="-6"/>
        </w:rPr>
        <w:t>www.haplox.c</w:t>
      </w:r>
      <w:r>
        <w:rPr>
          <w:rFonts w:ascii="微软雅黑" w:hAnsi="微软雅黑" w:eastAsia="微软雅黑" w:cs="微软雅黑"/>
          <w:color w:val="7F7F7F" w:themeColor="background1" w:themeShade="80"/>
          <w:position w:val="-6"/>
        </w:rPr>
        <w:t>om</w:t>
      </w:r>
    </w:p>
    <w:p>
      <w:pPr>
        <w:spacing w:line="360" w:lineRule="exact"/>
        <w:rPr>
          <w:rFonts w:ascii="微软雅黑" w:hAnsi="微软雅黑" w:eastAsia="微软雅黑" w:cs="微软雅黑"/>
          <w:color w:val="7F7F7F" w:themeColor="background1" w:themeShade="80"/>
          <w:position w:val="-6"/>
        </w:rPr>
      </w:pPr>
      <w:r>
        <w:rPr>
          <w:rFonts w:hint="eastAsia" w:ascii="微软雅黑" w:hAnsi="微软雅黑" w:eastAsia="微软雅黑" w:cs="微软雅黑"/>
          <w:color w:val="7F7F7F" w:themeColor="background1" w:themeShade="80"/>
          <w:position w:val="-6"/>
        </w:rPr>
        <w:t>0755-86720219  0755-86574950</w:t>
      </w:r>
    </w:p>
    <w:p>
      <w:pPr>
        <w:spacing w:line="360" w:lineRule="exact"/>
        <w:rPr>
          <w:rFonts w:ascii="微软雅黑" w:hAnsi="微软雅黑" w:eastAsia="微软雅黑" w:cs="微软雅黑"/>
          <w:color w:val="7F7F7F" w:themeColor="background1" w:themeShade="80"/>
          <w:position w:val="-6"/>
        </w:rPr>
      </w:pPr>
      <w:r>
        <w:rPr>
          <w:rFonts w:hint="eastAsia" w:ascii="微软雅黑" w:hAnsi="微软雅黑" w:eastAsia="微软雅黑" w:cs="微软雅黑"/>
          <w:color w:val="7F7F7F" w:themeColor="background1" w:themeShade="80"/>
          <w:position w:val="-6"/>
        </w:rPr>
        <w:t>info@haplox.com</w:t>
      </w:r>
    </w:p>
    <w:p>
      <w:pPr>
        <w:jc w:val="both"/>
        <w:rPr>
          <w:rFonts w:ascii="微软雅黑" w:hAnsi="微软雅黑" w:eastAsia="微软雅黑" w:cs="微软雅黑"/>
          <w:sz w:val="18"/>
          <w:szCs w:val="18"/>
        </w:rPr>
      </w:pPr>
    </w:p>
    <w:sectPr>
      <w:headerReference r:id="rId10" w:type="first"/>
      <w:footerReference r:id="rId12" w:type="first"/>
      <w:footerReference r:id="rId11" w:type="default"/>
      <w:pgSz w:w="11850" w:h="16783"/>
      <w:pgMar w:top="1440" w:right="1080" w:bottom="1440" w:left="108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思源黑体 CN Regular">
    <w:altName w:val="黑体"/>
    <w:panose1 w:val="00000000000000000000"/>
    <w:charset w:val="86"/>
    <w:family w:val="auto"/>
    <w:pitch w:val="default"/>
    <w:sig w:usb0="00000000" w:usb1="00000000" w:usb2="00000016" w:usb3="00000000" w:csb0="60060107"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微软雅黑" w:hAnsi="微软雅黑" w:eastAsia="微软雅黑"/>
      </w:rPr>
    </w:pPr>
    <w:r>
      <w:rPr>
        <w:rFonts w:ascii="微软雅黑" w:hAnsi="微软雅黑" w:eastAsia="微软雅黑"/>
        <w:lang w:val="zh-CN"/>
      </w:rPr>
      <w:t xml:space="preserve"> </w:t>
    </w:r>
    <w:bookmarkStart w:id="39" w:name="OLE_LINK10"/>
    <w:r>
      <w:rPr>
        <w:rFonts w:ascii="微软雅黑" w:hAnsi="微软雅黑" w:eastAsia="微软雅黑"/>
        <w:b/>
        <w:bCs/>
      </w:rPr>
      <w:fldChar w:fldCharType="begin"/>
    </w:r>
    <w:r>
      <w:rPr>
        <w:rFonts w:ascii="微软雅黑" w:hAnsi="微软雅黑" w:eastAsia="微软雅黑"/>
        <w:b/>
        <w:bCs/>
      </w:rPr>
      <w:instrText xml:space="preserve">PAGE  \* Arabic  \* MERGEFORMAT</w:instrText>
    </w:r>
    <w:r>
      <w:rPr>
        <w:rFonts w:ascii="微软雅黑" w:hAnsi="微软雅黑" w:eastAsia="微软雅黑"/>
        <w:b/>
        <w:bCs/>
      </w:rPr>
      <w:fldChar w:fldCharType="separate"/>
    </w:r>
    <w:r>
      <w:rPr>
        <w:rFonts w:ascii="微软雅黑" w:hAnsi="微软雅黑" w:eastAsia="微软雅黑"/>
        <w:b/>
        <w:bCs/>
        <w:lang w:val="zh-CN"/>
      </w:rPr>
      <w:t>1</w:t>
    </w:r>
    <w:r>
      <w:rPr>
        <w:rFonts w:ascii="微软雅黑" w:hAnsi="微软雅黑" w:eastAsia="微软雅黑"/>
        <w:b/>
        <w:bCs/>
      </w:rPr>
      <w:fldChar w:fldCharType="end"/>
    </w:r>
    <w:r>
      <w:rPr>
        <w:rFonts w:ascii="微软雅黑" w:hAnsi="微软雅黑" w:eastAsia="微软雅黑"/>
        <w:lang w:val="zh-CN"/>
      </w:rPr>
      <w:t xml:space="preserve"> </w:t>
    </w:r>
    <w:bookmarkEnd w:id="39"/>
    <w:r>
      <w:rPr>
        <w:rFonts w:ascii="微软雅黑" w:hAnsi="微软雅黑" w:eastAsia="微软雅黑"/>
        <w:lang w:val="zh-CN"/>
      </w:rPr>
      <w:t xml:space="preserve">/ </w:t>
    </w:r>
    <w:r>
      <w:rPr>
        <w:rFonts w:ascii="微软雅黑" w:hAnsi="微软雅黑" w:eastAsia="微软雅黑"/>
        <w:b/>
        <w:bCs/>
        <w:lang w:val="zh-CN"/>
      </w:rPr>
      <w:t>1</w:t>
    </w:r>
    <w:r>
      <w:rPr>
        <w:rFonts w:hint="eastAsia" w:ascii="微软雅黑" w:hAnsi="微软雅黑" w:eastAsia="微软雅黑"/>
        <w:b/>
        <w:bCs/>
      </w:rP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微软雅黑" w:hAnsi="微软雅黑" w:eastAsia="微软雅黑"/>
      </w:rPr>
    </w:pPr>
    <w: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14935" cy="131445"/>
              <wp:effectExtent l="0" t="0" r="12065" b="14605"/>
              <wp:wrapNone/>
              <wp:docPr id="5" name="文本框 5"/>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70528;mso-width-relative:page;mso-height-relative:page;" filled="f" stroked="f" coordsize="21600,21600" o:gfxdata="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l3GF10gAAAAMBAAAPAAAAAAAAAAEAIAAA&#10;ACIAAABkcnMvZG93bnJldi54bWxQSwECFAAUAAAACACHTuJAqYd3KxICAAAFBAAADgAAAAAAAAAB&#10;ACAAAAAhAQAAZHJzL2Uyb0RvYy54bWxQSwUGAAAAAAYABgBZAQAAp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19</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57785" cy="131445"/>
              <wp:effectExtent l="0" t="0" r="12065" b="14605"/>
              <wp:wrapNone/>
              <wp:docPr id="6" name="文本框 6"/>
              <wp:cNvGraphicFramePr/>
              <a:graphic xmlns:a="http://schemas.openxmlformats.org/drawingml/2006/main">
                <a:graphicData uri="http://schemas.microsoft.com/office/word/2010/wordprocessingShape">
                  <wps:wsp>
                    <wps:cNvSpPr txBox="1"/>
                    <wps:spPr>
                      <a:xfrm>
                        <a:off x="0" y="0"/>
                        <a:ext cx="57785" cy="1314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35pt;width:4.55pt;mso-position-horizontal:center;mso-position-horizontal-relative:margin;mso-wrap-style:none;z-index:251671552;mso-width-relative:page;mso-height-relative:page;" filled="f" stroked="f" coordsize="21600,21600" o:gfxdata="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7wAWNEAAAACAQAADwAAAAAAAAABACAA&#10;AAAiAAAAZHJzL2Rvd25yZXYueG1sUEsBAhQAFAAAAAgAh07iQKlFGusUAgAABAQAAA4AAAAAAAAA&#10;AQAgAAAAIAEAAGRycy9lMm9Eb2MueG1sUEsFBgAAAAAGAAYAWQEAAKY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微软雅黑" w:hAnsi="微软雅黑" w:eastAsia="微软雅黑"/>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left"/>
    </w:pPr>
    <w:r>
      <w:rPr>
        <w:rFonts w:hint="eastAsia"/>
      </w:rPr>
      <w:drawing>
        <wp:anchor distT="0" distB="0" distL="114300" distR="114300" simplePos="0" relativeHeight="251658240" behindDoc="1" locked="0" layoutInCell="1" allowOverlap="1">
          <wp:simplePos x="0" y="0"/>
          <wp:positionH relativeFrom="column">
            <wp:posOffset>5067300</wp:posOffset>
          </wp:positionH>
          <wp:positionV relativeFrom="paragraph">
            <wp:posOffset>635</wp:posOffset>
          </wp:positionV>
          <wp:extent cx="1002665" cy="373380"/>
          <wp:effectExtent l="0" t="0" r="6985" b="7620"/>
          <wp:wrapThrough wrapText="bothSides">
            <wp:wrapPolygon>
              <wp:start x="12722" y="0"/>
              <wp:lineTo x="0" y="1065"/>
              <wp:lineTo x="0" y="15980"/>
              <wp:lineTo x="9439" y="20241"/>
              <wp:lineTo x="21340" y="20241"/>
              <wp:lineTo x="21340" y="6392"/>
              <wp:lineTo x="20930" y="0"/>
              <wp:lineTo x="12722" y="0"/>
            </wp:wrapPolygon>
          </wp:wrapThrough>
          <wp:docPr id="1" name="图片 1" descr="C:\Users\Administrator\Desktop\工作\新颜色logo\海普洛斯LOGO（矢量文件）.png海普洛斯LOGO（矢量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工作\新颜色logo\海普洛斯LOGO（矢量文件）.png海普洛斯LOGO（矢量文件）"/>
                  <pic:cNvPicPr>
                    <a:picLocks noChangeAspect="1"/>
                  </pic:cNvPicPr>
                </pic:nvPicPr>
                <pic:blipFill>
                  <a:blip r:embed="rId1"/>
                  <a:srcRect/>
                  <a:stretch>
                    <a:fillRect/>
                  </a:stretch>
                </pic:blipFill>
                <pic:spPr>
                  <a:xfrm>
                    <a:off x="0" y="0"/>
                    <a:ext cx="1002665" cy="373380"/>
                  </a:xfrm>
                  <a:prstGeom prst="rect">
                    <a:avLst/>
                  </a:prstGeom>
                </pic:spPr>
              </pic:pic>
            </a:graphicData>
          </a:graphic>
        </wp:anchor>
      </w:drawing>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r>
      <w:rPr>
        <w:rFonts w:hint="eastAsia"/>
      </w:rPr>
      <w:drawing>
        <wp:anchor distT="0" distB="0" distL="114300" distR="114300" simplePos="0" relativeHeight="251669504" behindDoc="1" locked="0" layoutInCell="1" allowOverlap="1">
          <wp:simplePos x="0" y="0"/>
          <wp:positionH relativeFrom="column">
            <wp:posOffset>5000625</wp:posOffset>
          </wp:positionH>
          <wp:positionV relativeFrom="paragraph">
            <wp:posOffset>-57150</wp:posOffset>
          </wp:positionV>
          <wp:extent cx="1002665" cy="373380"/>
          <wp:effectExtent l="0" t="0" r="6985" b="7620"/>
          <wp:wrapThrough wrapText="bothSides">
            <wp:wrapPolygon>
              <wp:start x="12722" y="0"/>
              <wp:lineTo x="0" y="1065"/>
              <wp:lineTo x="0" y="15980"/>
              <wp:lineTo x="9439" y="20241"/>
              <wp:lineTo x="21340" y="20241"/>
              <wp:lineTo x="21340" y="6392"/>
              <wp:lineTo x="20930" y="0"/>
              <wp:lineTo x="12722" y="0"/>
            </wp:wrapPolygon>
          </wp:wrapThrough>
          <wp:docPr id="4" name="图片 4" descr="C:\Users\Administrator\Desktop\工作\新颜色logo\海普洛斯LOGO（矢量文件）.png海普洛斯LOGO（矢量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工作\新颜色logo\海普洛斯LOGO（矢量文件）.png海普洛斯LOGO（矢量文件）"/>
                  <pic:cNvPicPr>
                    <a:picLocks noChangeAspect="1"/>
                  </pic:cNvPicPr>
                </pic:nvPicPr>
                <pic:blipFill>
                  <a:blip r:embed="rId1"/>
                  <a:srcRect/>
                  <a:stretch>
                    <a:fillRect/>
                  </a:stretch>
                </pic:blipFill>
                <pic:spPr>
                  <a:xfrm>
                    <a:off x="0" y="0"/>
                    <a:ext cx="1002665" cy="373380"/>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1A7B"/>
    <w:multiLevelType w:val="multilevel"/>
    <w:tmpl w:val="14AE1A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32C24D3"/>
    <w:multiLevelType w:val="multilevel"/>
    <w:tmpl w:val="432C24D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393B8F"/>
    <w:multiLevelType w:val="multilevel"/>
    <w:tmpl w:val="59393B8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EB62EE1"/>
    <w:multiLevelType w:val="multilevel"/>
    <w:tmpl w:val="5EB62EE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w:balanceSingleByteDoubleByteWidth"/>
    <w:docVar w:name="EN.Libraries" w:val="꬀吓,&lt;ሔ꬀吓_x000a_ሊ꬀吓_x000a_ሊ꬀吓"/>
    <w:docVar w:name="KY_MEDREF_DOCUID" w:val="{8B67F406-2ABC-42D3-9C49-3A60FDFC438A}"/>
  </w:docVars>
  <w:rsids>
    <w:rsidRoot w:val="00172A27"/>
    <w:rsid w:val="00001E9A"/>
    <w:rsid w:val="00003126"/>
    <w:rsid w:val="00004F24"/>
    <w:rsid w:val="00007687"/>
    <w:rsid w:val="00011A57"/>
    <w:rsid w:val="00012EA2"/>
    <w:rsid w:val="00013323"/>
    <w:rsid w:val="00014525"/>
    <w:rsid w:val="000148F0"/>
    <w:rsid w:val="00016F68"/>
    <w:rsid w:val="00017937"/>
    <w:rsid w:val="000209F4"/>
    <w:rsid w:val="00020CB3"/>
    <w:rsid w:val="000211E2"/>
    <w:rsid w:val="0002143C"/>
    <w:rsid w:val="000225BF"/>
    <w:rsid w:val="00024107"/>
    <w:rsid w:val="000248F3"/>
    <w:rsid w:val="00025057"/>
    <w:rsid w:val="0002547D"/>
    <w:rsid w:val="0002786C"/>
    <w:rsid w:val="00027B8C"/>
    <w:rsid w:val="000307F0"/>
    <w:rsid w:val="00030959"/>
    <w:rsid w:val="0003145A"/>
    <w:rsid w:val="000327C2"/>
    <w:rsid w:val="00034833"/>
    <w:rsid w:val="00036913"/>
    <w:rsid w:val="00041EDF"/>
    <w:rsid w:val="00042C86"/>
    <w:rsid w:val="0004393B"/>
    <w:rsid w:val="00044CF4"/>
    <w:rsid w:val="00045A6F"/>
    <w:rsid w:val="00051B84"/>
    <w:rsid w:val="000522EF"/>
    <w:rsid w:val="0005665F"/>
    <w:rsid w:val="00057CBC"/>
    <w:rsid w:val="00060E19"/>
    <w:rsid w:val="000619BD"/>
    <w:rsid w:val="000642D4"/>
    <w:rsid w:val="00065B56"/>
    <w:rsid w:val="0006618D"/>
    <w:rsid w:val="000664BC"/>
    <w:rsid w:val="000674DF"/>
    <w:rsid w:val="00070321"/>
    <w:rsid w:val="00070B5A"/>
    <w:rsid w:val="00071477"/>
    <w:rsid w:val="0007187F"/>
    <w:rsid w:val="00072F96"/>
    <w:rsid w:val="0007579C"/>
    <w:rsid w:val="00077ABB"/>
    <w:rsid w:val="000808CD"/>
    <w:rsid w:val="00082975"/>
    <w:rsid w:val="000840CB"/>
    <w:rsid w:val="00086CB9"/>
    <w:rsid w:val="00086D9C"/>
    <w:rsid w:val="00086E98"/>
    <w:rsid w:val="00090BF5"/>
    <w:rsid w:val="00091E44"/>
    <w:rsid w:val="000939C4"/>
    <w:rsid w:val="000A1432"/>
    <w:rsid w:val="000A34C3"/>
    <w:rsid w:val="000A5498"/>
    <w:rsid w:val="000A60BD"/>
    <w:rsid w:val="000B2D6D"/>
    <w:rsid w:val="000B3684"/>
    <w:rsid w:val="000B39B6"/>
    <w:rsid w:val="000B3FA3"/>
    <w:rsid w:val="000B44A3"/>
    <w:rsid w:val="000C16C5"/>
    <w:rsid w:val="000C18C6"/>
    <w:rsid w:val="000C2AA8"/>
    <w:rsid w:val="000C3C80"/>
    <w:rsid w:val="000C49A5"/>
    <w:rsid w:val="000C6A83"/>
    <w:rsid w:val="000C749B"/>
    <w:rsid w:val="000D251C"/>
    <w:rsid w:val="000D2D74"/>
    <w:rsid w:val="000D7047"/>
    <w:rsid w:val="000D7ED7"/>
    <w:rsid w:val="000E05D6"/>
    <w:rsid w:val="000E2D67"/>
    <w:rsid w:val="000E4062"/>
    <w:rsid w:val="000E46D9"/>
    <w:rsid w:val="000E5D01"/>
    <w:rsid w:val="000E5EE6"/>
    <w:rsid w:val="000E68E2"/>
    <w:rsid w:val="000E6F77"/>
    <w:rsid w:val="000F19EF"/>
    <w:rsid w:val="000F2B24"/>
    <w:rsid w:val="000F7951"/>
    <w:rsid w:val="0010133A"/>
    <w:rsid w:val="001025E8"/>
    <w:rsid w:val="00106810"/>
    <w:rsid w:val="001075BF"/>
    <w:rsid w:val="00107A20"/>
    <w:rsid w:val="00116419"/>
    <w:rsid w:val="00116D01"/>
    <w:rsid w:val="00121297"/>
    <w:rsid w:val="00121A31"/>
    <w:rsid w:val="0012368D"/>
    <w:rsid w:val="001252E3"/>
    <w:rsid w:val="00127AB2"/>
    <w:rsid w:val="00130408"/>
    <w:rsid w:val="001340EC"/>
    <w:rsid w:val="00134BC2"/>
    <w:rsid w:val="00137158"/>
    <w:rsid w:val="001379EB"/>
    <w:rsid w:val="001435F1"/>
    <w:rsid w:val="001460E8"/>
    <w:rsid w:val="001506BC"/>
    <w:rsid w:val="00150AB9"/>
    <w:rsid w:val="00151D1A"/>
    <w:rsid w:val="00151E1F"/>
    <w:rsid w:val="00152785"/>
    <w:rsid w:val="0015381F"/>
    <w:rsid w:val="001551CB"/>
    <w:rsid w:val="00155B89"/>
    <w:rsid w:val="00156105"/>
    <w:rsid w:val="001635A3"/>
    <w:rsid w:val="00163FE9"/>
    <w:rsid w:val="00166301"/>
    <w:rsid w:val="00167BDC"/>
    <w:rsid w:val="00167C76"/>
    <w:rsid w:val="00170CD5"/>
    <w:rsid w:val="00172A27"/>
    <w:rsid w:val="00173EE8"/>
    <w:rsid w:val="00176069"/>
    <w:rsid w:val="001777BE"/>
    <w:rsid w:val="0017784E"/>
    <w:rsid w:val="00177F65"/>
    <w:rsid w:val="0018153F"/>
    <w:rsid w:val="00184122"/>
    <w:rsid w:val="001852C8"/>
    <w:rsid w:val="00194B91"/>
    <w:rsid w:val="0019689D"/>
    <w:rsid w:val="001A0D31"/>
    <w:rsid w:val="001A5ED8"/>
    <w:rsid w:val="001B0150"/>
    <w:rsid w:val="001B0707"/>
    <w:rsid w:val="001B1256"/>
    <w:rsid w:val="001B2B2B"/>
    <w:rsid w:val="001B53EA"/>
    <w:rsid w:val="001C1CAC"/>
    <w:rsid w:val="001C3591"/>
    <w:rsid w:val="001C3B05"/>
    <w:rsid w:val="001C599F"/>
    <w:rsid w:val="001C6526"/>
    <w:rsid w:val="001C6CD4"/>
    <w:rsid w:val="001C725A"/>
    <w:rsid w:val="001C7285"/>
    <w:rsid w:val="001D18A9"/>
    <w:rsid w:val="001D3035"/>
    <w:rsid w:val="001D384D"/>
    <w:rsid w:val="001D5B7E"/>
    <w:rsid w:val="001D65A2"/>
    <w:rsid w:val="001D7B29"/>
    <w:rsid w:val="001E25B4"/>
    <w:rsid w:val="001E44F1"/>
    <w:rsid w:val="001E5A67"/>
    <w:rsid w:val="001F2E48"/>
    <w:rsid w:val="001F43DE"/>
    <w:rsid w:val="001F5949"/>
    <w:rsid w:val="002000CB"/>
    <w:rsid w:val="00200BEF"/>
    <w:rsid w:val="00200E82"/>
    <w:rsid w:val="0020259C"/>
    <w:rsid w:val="00203841"/>
    <w:rsid w:val="00204FB3"/>
    <w:rsid w:val="002054A4"/>
    <w:rsid w:val="002054D2"/>
    <w:rsid w:val="002060C9"/>
    <w:rsid w:val="00213328"/>
    <w:rsid w:val="00217207"/>
    <w:rsid w:val="002178E7"/>
    <w:rsid w:val="002232E7"/>
    <w:rsid w:val="002244A5"/>
    <w:rsid w:val="0022489B"/>
    <w:rsid w:val="002258F6"/>
    <w:rsid w:val="00226BBB"/>
    <w:rsid w:val="00230118"/>
    <w:rsid w:val="00230BE1"/>
    <w:rsid w:val="00231509"/>
    <w:rsid w:val="0023152E"/>
    <w:rsid w:val="00233B12"/>
    <w:rsid w:val="00233CFD"/>
    <w:rsid w:val="002432E5"/>
    <w:rsid w:val="00247040"/>
    <w:rsid w:val="00247885"/>
    <w:rsid w:val="00251000"/>
    <w:rsid w:val="00267FF7"/>
    <w:rsid w:val="002706BE"/>
    <w:rsid w:val="00272A5A"/>
    <w:rsid w:val="002735D6"/>
    <w:rsid w:val="002749D4"/>
    <w:rsid w:val="00276062"/>
    <w:rsid w:val="00277D0E"/>
    <w:rsid w:val="0028142E"/>
    <w:rsid w:val="00282EF6"/>
    <w:rsid w:val="00287ECA"/>
    <w:rsid w:val="00291A4E"/>
    <w:rsid w:val="00291D21"/>
    <w:rsid w:val="00292979"/>
    <w:rsid w:val="00292C94"/>
    <w:rsid w:val="0029543B"/>
    <w:rsid w:val="00295777"/>
    <w:rsid w:val="002A0434"/>
    <w:rsid w:val="002A66F0"/>
    <w:rsid w:val="002A6C82"/>
    <w:rsid w:val="002A6E7B"/>
    <w:rsid w:val="002A76D4"/>
    <w:rsid w:val="002B0A14"/>
    <w:rsid w:val="002B3887"/>
    <w:rsid w:val="002B4548"/>
    <w:rsid w:val="002C023D"/>
    <w:rsid w:val="002C30F9"/>
    <w:rsid w:val="002C3D99"/>
    <w:rsid w:val="002C3FBB"/>
    <w:rsid w:val="002C47E7"/>
    <w:rsid w:val="002C5F04"/>
    <w:rsid w:val="002D07B0"/>
    <w:rsid w:val="002D09B9"/>
    <w:rsid w:val="002D2202"/>
    <w:rsid w:val="002E0814"/>
    <w:rsid w:val="002E2AF6"/>
    <w:rsid w:val="002E4CF8"/>
    <w:rsid w:val="002E5351"/>
    <w:rsid w:val="002E55D5"/>
    <w:rsid w:val="002E6F58"/>
    <w:rsid w:val="002F085C"/>
    <w:rsid w:val="002F0B6D"/>
    <w:rsid w:val="002F0F41"/>
    <w:rsid w:val="002F2250"/>
    <w:rsid w:val="00300268"/>
    <w:rsid w:val="00301CC2"/>
    <w:rsid w:val="00302251"/>
    <w:rsid w:val="00302FE4"/>
    <w:rsid w:val="003031EF"/>
    <w:rsid w:val="00304A1F"/>
    <w:rsid w:val="00305536"/>
    <w:rsid w:val="0030718B"/>
    <w:rsid w:val="00307AB5"/>
    <w:rsid w:val="00312F25"/>
    <w:rsid w:val="00317434"/>
    <w:rsid w:val="00321268"/>
    <w:rsid w:val="003212BB"/>
    <w:rsid w:val="00322010"/>
    <w:rsid w:val="00322273"/>
    <w:rsid w:val="00322B6E"/>
    <w:rsid w:val="00324140"/>
    <w:rsid w:val="003251E4"/>
    <w:rsid w:val="003260D1"/>
    <w:rsid w:val="00326111"/>
    <w:rsid w:val="003309FE"/>
    <w:rsid w:val="00331A22"/>
    <w:rsid w:val="003320D6"/>
    <w:rsid w:val="0033263D"/>
    <w:rsid w:val="0033352C"/>
    <w:rsid w:val="003346C3"/>
    <w:rsid w:val="00335E51"/>
    <w:rsid w:val="00340936"/>
    <w:rsid w:val="00341A9D"/>
    <w:rsid w:val="00350440"/>
    <w:rsid w:val="00351B98"/>
    <w:rsid w:val="003522CB"/>
    <w:rsid w:val="00352891"/>
    <w:rsid w:val="00354AEC"/>
    <w:rsid w:val="00355CE0"/>
    <w:rsid w:val="003565D1"/>
    <w:rsid w:val="00362469"/>
    <w:rsid w:val="003624E9"/>
    <w:rsid w:val="00364019"/>
    <w:rsid w:val="0036420B"/>
    <w:rsid w:val="00366E2B"/>
    <w:rsid w:val="0036790B"/>
    <w:rsid w:val="003709F2"/>
    <w:rsid w:val="0037294A"/>
    <w:rsid w:val="00375282"/>
    <w:rsid w:val="00375BA2"/>
    <w:rsid w:val="00375E51"/>
    <w:rsid w:val="003773A3"/>
    <w:rsid w:val="00377D01"/>
    <w:rsid w:val="00380A36"/>
    <w:rsid w:val="00390121"/>
    <w:rsid w:val="003909CF"/>
    <w:rsid w:val="00397441"/>
    <w:rsid w:val="003A2ECC"/>
    <w:rsid w:val="003A3928"/>
    <w:rsid w:val="003A3B52"/>
    <w:rsid w:val="003A63C7"/>
    <w:rsid w:val="003B2421"/>
    <w:rsid w:val="003B30A0"/>
    <w:rsid w:val="003B5BBC"/>
    <w:rsid w:val="003B7793"/>
    <w:rsid w:val="003C3334"/>
    <w:rsid w:val="003C36EB"/>
    <w:rsid w:val="003C53FC"/>
    <w:rsid w:val="003C66F1"/>
    <w:rsid w:val="003C6977"/>
    <w:rsid w:val="003C6D02"/>
    <w:rsid w:val="003C79F5"/>
    <w:rsid w:val="003D05F5"/>
    <w:rsid w:val="003D3492"/>
    <w:rsid w:val="003D4FD8"/>
    <w:rsid w:val="003E20EA"/>
    <w:rsid w:val="003E2A93"/>
    <w:rsid w:val="003E346C"/>
    <w:rsid w:val="003E58EC"/>
    <w:rsid w:val="003E5D0D"/>
    <w:rsid w:val="003E7F31"/>
    <w:rsid w:val="003F0DF3"/>
    <w:rsid w:val="003F43F5"/>
    <w:rsid w:val="003F695A"/>
    <w:rsid w:val="0040282B"/>
    <w:rsid w:val="00403978"/>
    <w:rsid w:val="00404ACC"/>
    <w:rsid w:val="004108F4"/>
    <w:rsid w:val="00413E74"/>
    <w:rsid w:val="0042216A"/>
    <w:rsid w:val="004239F1"/>
    <w:rsid w:val="004263D4"/>
    <w:rsid w:val="00426BE4"/>
    <w:rsid w:val="00426E7B"/>
    <w:rsid w:val="00427733"/>
    <w:rsid w:val="004306CF"/>
    <w:rsid w:val="00436C3C"/>
    <w:rsid w:val="00444777"/>
    <w:rsid w:val="00451941"/>
    <w:rsid w:val="0045212D"/>
    <w:rsid w:val="00452F04"/>
    <w:rsid w:val="004544CC"/>
    <w:rsid w:val="0045630A"/>
    <w:rsid w:val="00460E2D"/>
    <w:rsid w:val="00461070"/>
    <w:rsid w:val="004650BC"/>
    <w:rsid w:val="0046575F"/>
    <w:rsid w:val="00466B7F"/>
    <w:rsid w:val="0046747B"/>
    <w:rsid w:val="00470A8D"/>
    <w:rsid w:val="0047375A"/>
    <w:rsid w:val="00475DBD"/>
    <w:rsid w:val="0047674E"/>
    <w:rsid w:val="0047698A"/>
    <w:rsid w:val="00476F75"/>
    <w:rsid w:val="00477DC3"/>
    <w:rsid w:val="00480041"/>
    <w:rsid w:val="0048239C"/>
    <w:rsid w:val="004867E6"/>
    <w:rsid w:val="00486BC2"/>
    <w:rsid w:val="00490003"/>
    <w:rsid w:val="00490179"/>
    <w:rsid w:val="00490E7D"/>
    <w:rsid w:val="00491E87"/>
    <w:rsid w:val="00492999"/>
    <w:rsid w:val="00493BF8"/>
    <w:rsid w:val="00493FA7"/>
    <w:rsid w:val="0049764C"/>
    <w:rsid w:val="004A08C3"/>
    <w:rsid w:val="004A2DB1"/>
    <w:rsid w:val="004A4556"/>
    <w:rsid w:val="004A4E58"/>
    <w:rsid w:val="004A4FA7"/>
    <w:rsid w:val="004A6116"/>
    <w:rsid w:val="004B3B0A"/>
    <w:rsid w:val="004B6B70"/>
    <w:rsid w:val="004C1367"/>
    <w:rsid w:val="004C272A"/>
    <w:rsid w:val="004C4908"/>
    <w:rsid w:val="004D1509"/>
    <w:rsid w:val="004D5C8B"/>
    <w:rsid w:val="004D6B77"/>
    <w:rsid w:val="004E1CC8"/>
    <w:rsid w:val="004E28F5"/>
    <w:rsid w:val="004E3615"/>
    <w:rsid w:val="004E5CE4"/>
    <w:rsid w:val="004E7B2B"/>
    <w:rsid w:val="004F3D31"/>
    <w:rsid w:val="004F7BA2"/>
    <w:rsid w:val="004F7D8E"/>
    <w:rsid w:val="00503C94"/>
    <w:rsid w:val="005042CC"/>
    <w:rsid w:val="0050536F"/>
    <w:rsid w:val="00506B5D"/>
    <w:rsid w:val="0050774A"/>
    <w:rsid w:val="0051165B"/>
    <w:rsid w:val="00511E71"/>
    <w:rsid w:val="00511F10"/>
    <w:rsid w:val="00512649"/>
    <w:rsid w:val="00515CA8"/>
    <w:rsid w:val="005169E1"/>
    <w:rsid w:val="00521A14"/>
    <w:rsid w:val="005232DA"/>
    <w:rsid w:val="0052374D"/>
    <w:rsid w:val="00524FA0"/>
    <w:rsid w:val="005269CF"/>
    <w:rsid w:val="00530C78"/>
    <w:rsid w:val="00534EA2"/>
    <w:rsid w:val="005354AF"/>
    <w:rsid w:val="005356B1"/>
    <w:rsid w:val="005371AC"/>
    <w:rsid w:val="005403FC"/>
    <w:rsid w:val="00546022"/>
    <w:rsid w:val="0054721A"/>
    <w:rsid w:val="00553E81"/>
    <w:rsid w:val="005572C9"/>
    <w:rsid w:val="0055767B"/>
    <w:rsid w:val="00561847"/>
    <w:rsid w:val="00562BD2"/>
    <w:rsid w:val="005633E1"/>
    <w:rsid w:val="00564BFB"/>
    <w:rsid w:val="0056556D"/>
    <w:rsid w:val="00566A5D"/>
    <w:rsid w:val="005702DF"/>
    <w:rsid w:val="005737B9"/>
    <w:rsid w:val="005739F4"/>
    <w:rsid w:val="005749D2"/>
    <w:rsid w:val="005751FA"/>
    <w:rsid w:val="005759A4"/>
    <w:rsid w:val="005762FB"/>
    <w:rsid w:val="00577E0D"/>
    <w:rsid w:val="00580111"/>
    <w:rsid w:val="00581A5E"/>
    <w:rsid w:val="00582012"/>
    <w:rsid w:val="00582733"/>
    <w:rsid w:val="00591545"/>
    <w:rsid w:val="00591C54"/>
    <w:rsid w:val="005926E4"/>
    <w:rsid w:val="00593C94"/>
    <w:rsid w:val="00594318"/>
    <w:rsid w:val="005A0EFA"/>
    <w:rsid w:val="005A18C0"/>
    <w:rsid w:val="005A1C39"/>
    <w:rsid w:val="005A3388"/>
    <w:rsid w:val="005A3825"/>
    <w:rsid w:val="005A3895"/>
    <w:rsid w:val="005B0ED7"/>
    <w:rsid w:val="005B3EFA"/>
    <w:rsid w:val="005B5B20"/>
    <w:rsid w:val="005C1707"/>
    <w:rsid w:val="005C2139"/>
    <w:rsid w:val="005C3644"/>
    <w:rsid w:val="005C44F2"/>
    <w:rsid w:val="005D2057"/>
    <w:rsid w:val="005D214B"/>
    <w:rsid w:val="005D45DD"/>
    <w:rsid w:val="005D5817"/>
    <w:rsid w:val="005D6F1F"/>
    <w:rsid w:val="005E6B1A"/>
    <w:rsid w:val="005E74AA"/>
    <w:rsid w:val="005F04C9"/>
    <w:rsid w:val="005F2501"/>
    <w:rsid w:val="005F3029"/>
    <w:rsid w:val="005F3DB3"/>
    <w:rsid w:val="005F5902"/>
    <w:rsid w:val="005F6264"/>
    <w:rsid w:val="005F6DE5"/>
    <w:rsid w:val="00600392"/>
    <w:rsid w:val="006068EE"/>
    <w:rsid w:val="00606AF8"/>
    <w:rsid w:val="0060769E"/>
    <w:rsid w:val="00612468"/>
    <w:rsid w:val="0061474D"/>
    <w:rsid w:val="006174A1"/>
    <w:rsid w:val="00621388"/>
    <w:rsid w:val="00623C1C"/>
    <w:rsid w:val="00623F87"/>
    <w:rsid w:val="006240E5"/>
    <w:rsid w:val="0062733C"/>
    <w:rsid w:val="00630AE2"/>
    <w:rsid w:val="00633314"/>
    <w:rsid w:val="00633FA3"/>
    <w:rsid w:val="00634BB2"/>
    <w:rsid w:val="00635329"/>
    <w:rsid w:val="00636066"/>
    <w:rsid w:val="0063610C"/>
    <w:rsid w:val="00642FC1"/>
    <w:rsid w:val="006430A4"/>
    <w:rsid w:val="006442B4"/>
    <w:rsid w:val="00644A8D"/>
    <w:rsid w:val="006467E3"/>
    <w:rsid w:val="00650334"/>
    <w:rsid w:val="0065105A"/>
    <w:rsid w:val="006539A4"/>
    <w:rsid w:val="00655C95"/>
    <w:rsid w:val="006579B3"/>
    <w:rsid w:val="006628AE"/>
    <w:rsid w:val="00665C2D"/>
    <w:rsid w:val="00665C35"/>
    <w:rsid w:val="006704CA"/>
    <w:rsid w:val="00671445"/>
    <w:rsid w:val="00675B92"/>
    <w:rsid w:val="00677E37"/>
    <w:rsid w:val="00680547"/>
    <w:rsid w:val="006811B0"/>
    <w:rsid w:val="00684140"/>
    <w:rsid w:val="006857EC"/>
    <w:rsid w:val="00692BFD"/>
    <w:rsid w:val="00695217"/>
    <w:rsid w:val="00695E25"/>
    <w:rsid w:val="00696654"/>
    <w:rsid w:val="006A0C67"/>
    <w:rsid w:val="006A34FC"/>
    <w:rsid w:val="006A351F"/>
    <w:rsid w:val="006A62E4"/>
    <w:rsid w:val="006A69C7"/>
    <w:rsid w:val="006A712B"/>
    <w:rsid w:val="006B2E66"/>
    <w:rsid w:val="006B5870"/>
    <w:rsid w:val="006C1C53"/>
    <w:rsid w:val="006C1EF0"/>
    <w:rsid w:val="006C289C"/>
    <w:rsid w:val="006C450E"/>
    <w:rsid w:val="006C6751"/>
    <w:rsid w:val="006C72CA"/>
    <w:rsid w:val="006D1615"/>
    <w:rsid w:val="006D1C82"/>
    <w:rsid w:val="006D3282"/>
    <w:rsid w:val="006D41A0"/>
    <w:rsid w:val="006D5349"/>
    <w:rsid w:val="006D5B76"/>
    <w:rsid w:val="006D6657"/>
    <w:rsid w:val="006E052B"/>
    <w:rsid w:val="006E1F83"/>
    <w:rsid w:val="006E3F5A"/>
    <w:rsid w:val="006E5055"/>
    <w:rsid w:val="006E6D21"/>
    <w:rsid w:val="006E7E96"/>
    <w:rsid w:val="006F0060"/>
    <w:rsid w:val="006F1D39"/>
    <w:rsid w:val="006F480B"/>
    <w:rsid w:val="006F63B9"/>
    <w:rsid w:val="006F6619"/>
    <w:rsid w:val="006F6DA5"/>
    <w:rsid w:val="006F74D9"/>
    <w:rsid w:val="00700E07"/>
    <w:rsid w:val="007013EF"/>
    <w:rsid w:val="00701F52"/>
    <w:rsid w:val="00703EE4"/>
    <w:rsid w:val="00714988"/>
    <w:rsid w:val="00714A2A"/>
    <w:rsid w:val="00714D48"/>
    <w:rsid w:val="00717A31"/>
    <w:rsid w:val="00720670"/>
    <w:rsid w:val="0072068C"/>
    <w:rsid w:val="00720D94"/>
    <w:rsid w:val="00721004"/>
    <w:rsid w:val="0072194F"/>
    <w:rsid w:val="007234EF"/>
    <w:rsid w:val="0072451A"/>
    <w:rsid w:val="00724614"/>
    <w:rsid w:val="00724859"/>
    <w:rsid w:val="00724C98"/>
    <w:rsid w:val="00725461"/>
    <w:rsid w:val="00726A51"/>
    <w:rsid w:val="0072715C"/>
    <w:rsid w:val="0072751F"/>
    <w:rsid w:val="007279A1"/>
    <w:rsid w:val="00731335"/>
    <w:rsid w:val="00732231"/>
    <w:rsid w:val="007364A6"/>
    <w:rsid w:val="00740311"/>
    <w:rsid w:val="00751C1F"/>
    <w:rsid w:val="007525B2"/>
    <w:rsid w:val="00756267"/>
    <w:rsid w:val="00757183"/>
    <w:rsid w:val="0075747C"/>
    <w:rsid w:val="00757BC6"/>
    <w:rsid w:val="00760D65"/>
    <w:rsid w:val="00762A3D"/>
    <w:rsid w:val="007671CB"/>
    <w:rsid w:val="0077023A"/>
    <w:rsid w:val="007717E4"/>
    <w:rsid w:val="00772FD6"/>
    <w:rsid w:val="00773F19"/>
    <w:rsid w:val="007748E3"/>
    <w:rsid w:val="0077519A"/>
    <w:rsid w:val="00777A1A"/>
    <w:rsid w:val="00782045"/>
    <w:rsid w:val="00782880"/>
    <w:rsid w:val="00783600"/>
    <w:rsid w:val="00784897"/>
    <w:rsid w:val="00784D65"/>
    <w:rsid w:val="007864D0"/>
    <w:rsid w:val="007868B5"/>
    <w:rsid w:val="0079404C"/>
    <w:rsid w:val="0079477B"/>
    <w:rsid w:val="00794D2F"/>
    <w:rsid w:val="00795612"/>
    <w:rsid w:val="00795BCA"/>
    <w:rsid w:val="00797AFD"/>
    <w:rsid w:val="007A050D"/>
    <w:rsid w:val="007A3F75"/>
    <w:rsid w:val="007A49D2"/>
    <w:rsid w:val="007A6639"/>
    <w:rsid w:val="007B1DEE"/>
    <w:rsid w:val="007B5EBD"/>
    <w:rsid w:val="007B60E9"/>
    <w:rsid w:val="007B73AB"/>
    <w:rsid w:val="007C730F"/>
    <w:rsid w:val="007D205C"/>
    <w:rsid w:val="007D444C"/>
    <w:rsid w:val="007D6DC0"/>
    <w:rsid w:val="007D70F4"/>
    <w:rsid w:val="007E08D7"/>
    <w:rsid w:val="007E0C2C"/>
    <w:rsid w:val="007E1C4D"/>
    <w:rsid w:val="007E4F81"/>
    <w:rsid w:val="007E62CC"/>
    <w:rsid w:val="007E771B"/>
    <w:rsid w:val="007F1716"/>
    <w:rsid w:val="007F21F1"/>
    <w:rsid w:val="007F4400"/>
    <w:rsid w:val="00800741"/>
    <w:rsid w:val="00800DC0"/>
    <w:rsid w:val="008019CC"/>
    <w:rsid w:val="008036AB"/>
    <w:rsid w:val="00806908"/>
    <w:rsid w:val="00806AA7"/>
    <w:rsid w:val="00806F42"/>
    <w:rsid w:val="00807E7C"/>
    <w:rsid w:val="008103A2"/>
    <w:rsid w:val="008110EC"/>
    <w:rsid w:val="00811FBC"/>
    <w:rsid w:val="00812043"/>
    <w:rsid w:val="0081444F"/>
    <w:rsid w:val="0081462B"/>
    <w:rsid w:val="0081463B"/>
    <w:rsid w:val="00816F43"/>
    <w:rsid w:val="00821887"/>
    <w:rsid w:val="0082201F"/>
    <w:rsid w:val="008238DD"/>
    <w:rsid w:val="008246FE"/>
    <w:rsid w:val="008262EC"/>
    <w:rsid w:val="00826C04"/>
    <w:rsid w:val="008279B8"/>
    <w:rsid w:val="00830685"/>
    <w:rsid w:val="00831886"/>
    <w:rsid w:val="00832303"/>
    <w:rsid w:val="0083321D"/>
    <w:rsid w:val="00836138"/>
    <w:rsid w:val="008365A3"/>
    <w:rsid w:val="0084084E"/>
    <w:rsid w:val="00843235"/>
    <w:rsid w:val="00846653"/>
    <w:rsid w:val="008503D5"/>
    <w:rsid w:val="00852249"/>
    <w:rsid w:val="00852793"/>
    <w:rsid w:val="00853571"/>
    <w:rsid w:val="0085386C"/>
    <w:rsid w:val="008546C6"/>
    <w:rsid w:val="00856428"/>
    <w:rsid w:val="00860FEA"/>
    <w:rsid w:val="00866890"/>
    <w:rsid w:val="00866DCF"/>
    <w:rsid w:val="008673F5"/>
    <w:rsid w:val="0086770F"/>
    <w:rsid w:val="00867B0E"/>
    <w:rsid w:val="00873555"/>
    <w:rsid w:val="008739EF"/>
    <w:rsid w:val="00874BEF"/>
    <w:rsid w:val="00874D5F"/>
    <w:rsid w:val="008750D9"/>
    <w:rsid w:val="008762C3"/>
    <w:rsid w:val="00876784"/>
    <w:rsid w:val="00877821"/>
    <w:rsid w:val="0088039C"/>
    <w:rsid w:val="00880AF1"/>
    <w:rsid w:val="00880E3C"/>
    <w:rsid w:val="00881353"/>
    <w:rsid w:val="00882482"/>
    <w:rsid w:val="00882E9F"/>
    <w:rsid w:val="00884085"/>
    <w:rsid w:val="008854AE"/>
    <w:rsid w:val="00885651"/>
    <w:rsid w:val="00893F7E"/>
    <w:rsid w:val="00896530"/>
    <w:rsid w:val="008976F3"/>
    <w:rsid w:val="008A161A"/>
    <w:rsid w:val="008A214C"/>
    <w:rsid w:val="008A2259"/>
    <w:rsid w:val="008A3624"/>
    <w:rsid w:val="008A4E96"/>
    <w:rsid w:val="008A60FC"/>
    <w:rsid w:val="008A6E22"/>
    <w:rsid w:val="008B01B6"/>
    <w:rsid w:val="008B1044"/>
    <w:rsid w:val="008B1092"/>
    <w:rsid w:val="008B43D8"/>
    <w:rsid w:val="008B531E"/>
    <w:rsid w:val="008B5FF4"/>
    <w:rsid w:val="008B6EF3"/>
    <w:rsid w:val="008C14F8"/>
    <w:rsid w:val="008C24FF"/>
    <w:rsid w:val="008C3E0D"/>
    <w:rsid w:val="008C492A"/>
    <w:rsid w:val="008C5DC9"/>
    <w:rsid w:val="008D2AA2"/>
    <w:rsid w:val="008D3B30"/>
    <w:rsid w:val="008D3B5C"/>
    <w:rsid w:val="008D48B6"/>
    <w:rsid w:val="008D606E"/>
    <w:rsid w:val="008D746C"/>
    <w:rsid w:val="008E1B6D"/>
    <w:rsid w:val="008E2FB6"/>
    <w:rsid w:val="008E37D2"/>
    <w:rsid w:val="008E3CCD"/>
    <w:rsid w:val="008F0977"/>
    <w:rsid w:val="008F0FFF"/>
    <w:rsid w:val="008F10E2"/>
    <w:rsid w:val="008F1E92"/>
    <w:rsid w:val="008F1FD4"/>
    <w:rsid w:val="008F4CFE"/>
    <w:rsid w:val="008F65A8"/>
    <w:rsid w:val="0090066E"/>
    <w:rsid w:val="0090309D"/>
    <w:rsid w:val="00906AB1"/>
    <w:rsid w:val="00907631"/>
    <w:rsid w:val="00907BDE"/>
    <w:rsid w:val="00912697"/>
    <w:rsid w:val="009140CD"/>
    <w:rsid w:val="0091598F"/>
    <w:rsid w:val="00916960"/>
    <w:rsid w:val="00920103"/>
    <w:rsid w:val="00920982"/>
    <w:rsid w:val="00925FE6"/>
    <w:rsid w:val="009262AD"/>
    <w:rsid w:val="009332E5"/>
    <w:rsid w:val="009341F4"/>
    <w:rsid w:val="009341FA"/>
    <w:rsid w:val="00934402"/>
    <w:rsid w:val="009349F5"/>
    <w:rsid w:val="00935345"/>
    <w:rsid w:val="00936D9C"/>
    <w:rsid w:val="00937363"/>
    <w:rsid w:val="00937C81"/>
    <w:rsid w:val="00940FAD"/>
    <w:rsid w:val="00942F00"/>
    <w:rsid w:val="00943AF8"/>
    <w:rsid w:val="00943B12"/>
    <w:rsid w:val="00944E79"/>
    <w:rsid w:val="009477C3"/>
    <w:rsid w:val="00947B22"/>
    <w:rsid w:val="009506E6"/>
    <w:rsid w:val="00952148"/>
    <w:rsid w:val="009523CB"/>
    <w:rsid w:val="00952CA1"/>
    <w:rsid w:val="00952FD8"/>
    <w:rsid w:val="00954ABF"/>
    <w:rsid w:val="00962E20"/>
    <w:rsid w:val="00964249"/>
    <w:rsid w:val="00965745"/>
    <w:rsid w:val="00972F89"/>
    <w:rsid w:val="009746F7"/>
    <w:rsid w:val="00980A51"/>
    <w:rsid w:val="00982CAE"/>
    <w:rsid w:val="00983039"/>
    <w:rsid w:val="0098312E"/>
    <w:rsid w:val="009875A8"/>
    <w:rsid w:val="00987C78"/>
    <w:rsid w:val="0099037A"/>
    <w:rsid w:val="00991C7B"/>
    <w:rsid w:val="00991E22"/>
    <w:rsid w:val="009927AF"/>
    <w:rsid w:val="009932E6"/>
    <w:rsid w:val="009A0A42"/>
    <w:rsid w:val="009A15F1"/>
    <w:rsid w:val="009A1A4B"/>
    <w:rsid w:val="009A1D5D"/>
    <w:rsid w:val="009A3B52"/>
    <w:rsid w:val="009A4223"/>
    <w:rsid w:val="009A5A31"/>
    <w:rsid w:val="009B32B4"/>
    <w:rsid w:val="009B79D5"/>
    <w:rsid w:val="009C0369"/>
    <w:rsid w:val="009C1CA5"/>
    <w:rsid w:val="009C1CED"/>
    <w:rsid w:val="009C3617"/>
    <w:rsid w:val="009C3D46"/>
    <w:rsid w:val="009C52D6"/>
    <w:rsid w:val="009C6568"/>
    <w:rsid w:val="009C69FE"/>
    <w:rsid w:val="009D0AA4"/>
    <w:rsid w:val="009D19F1"/>
    <w:rsid w:val="009D35E5"/>
    <w:rsid w:val="009D3CA6"/>
    <w:rsid w:val="009D5690"/>
    <w:rsid w:val="009D6DBB"/>
    <w:rsid w:val="009D6F46"/>
    <w:rsid w:val="009D75D2"/>
    <w:rsid w:val="009E0497"/>
    <w:rsid w:val="009E171F"/>
    <w:rsid w:val="009E2C92"/>
    <w:rsid w:val="009E583E"/>
    <w:rsid w:val="009F5104"/>
    <w:rsid w:val="009F72AD"/>
    <w:rsid w:val="009F7B05"/>
    <w:rsid w:val="00A00EC9"/>
    <w:rsid w:val="00A032BC"/>
    <w:rsid w:val="00A03A2A"/>
    <w:rsid w:val="00A049E0"/>
    <w:rsid w:val="00A056DF"/>
    <w:rsid w:val="00A10930"/>
    <w:rsid w:val="00A134A0"/>
    <w:rsid w:val="00A143E7"/>
    <w:rsid w:val="00A17500"/>
    <w:rsid w:val="00A17DE6"/>
    <w:rsid w:val="00A21D80"/>
    <w:rsid w:val="00A22BD3"/>
    <w:rsid w:val="00A24C56"/>
    <w:rsid w:val="00A25E23"/>
    <w:rsid w:val="00A313FE"/>
    <w:rsid w:val="00A31ECC"/>
    <w:rsid w:val="00A361DD"/>
    <w:rsid w:val="00A37CE9"/>
    <w:rsid w:val="00A4215F"/>
    <w:rsid w:val="00A42F5D"/>
    <w:rsid w:val="00A4322E"/>
    <w:rsid w:val="00A43837"/>
    <w:rsid w:val="00A4451C"/>
    <w:rsid w:val="00A47272"/>
    <w:rsid w:val="00A504DC"/>
    <w:rsid w:val="00A50655"/>
    <w:rsid w:val="00A53FF5"/>
    <w:rsid w:val="00A57B1A"/>
    <w:rsid w:val="00A60C4F"/>
    <w:rsid w:val="00A624B3"/>
    <w:rsid w:val="00A625AB"/>
    <w:rsid w:val="00A6413F"/>
    <w:rsid w:val="00A64221"/>
    <w:rsid w:val="00A720AC"/>
    <w:rsid w:val="00A7260E"/>
    <w:rsid w:val="00A72FB5"/>
    <w:rsid w:val="00A77B45"/>
    <w:rsid w:val="00A81108"/>
    <w:rsid w:val="00A8155A"/>
    <w:rsid w:val="00A8638D"/>
    <w:rsid w:val="00A912CD"/>
    <w:rsid w:val="00A91CC4"/>
    <w:rsid w:val="00A9235C"/>
    <w:rsid w:val="00A93A8E"/>
    <w:rsid w:val="00A95010"/>
    <w:rsid w:val="00A97C24"/>
    <w:rsid w:val="00AA5CA9"/>
    <w:rsid w:val="00AB0136"/>
    <w:rsid w:val="00AB03A3"/>
    <w:rsid w:val="00AB1588"/>
    <w:rsid w:val="00AB3EB4"/>
    <w:rsid w:val="00AB46B2"/>
    <w:rsid w:val="00AB6C59"/>
    <w:rsid w:val="00AC22BC"/>
    <w:rsid w:val="00AC2651"/>
    <w:rsid w:val="00AC367B"/>
    <w:rsid w:val="00AC383E"/>
    <w:rsid w:val="00AC4B56"/>
    <w:rsid w:val="00AC540E"/>
    <w:rsid w:val="00AC786E"/>
    <w:rsid w:val="00AD040A"/>
    <w:rsid w:val="00AD09FE"/>
    <w:rsid w:val="00AD1585"/>
    <w:rsid w:val="00AD6840"/>
    <w:rsid w:val="00AE092C"/>
    <w:rsid w:val="00AF28A7"/>
    <w:rsid w:val="00AF38EA"/>
    <w:rsid w:val="00AF4890"/>
    <w:rsid w:val="00B061BC"/>
    <w:rsid w:val="00B062BC"/>
    <w:rsid w:val="00B069AF"/>
    <w:rsid w:val="00B1000A"/>
    <w:rsid w:val="00B113F8"/>
    <w:rsid w:val="00B11F0F"/>
    <w:rsid w:val="00B12DB8"/>
    <w:rsid w:val="00B17325"/>
    <w:rsid w:val="00B23EEA"/>
    <w:rsid w:val="00B25771"/>
    <w:rsid w:val="00B25891"/>
    <w:rsid w:val="00B30650"/>
    <w:rsid w:val="00B32B09"/>
    <w:rsid w:val="00B32BC9"/>
    <w:rsid w:val="00B33018"/>
    <w:rsid w:val="00B354FA"/>
    <w:rsid w:val="00B40360"/>
    <w:rsid w:val="00B411A7"/>
    <w:rsid w:val="00B419CA"/>
    <w:rsid w:val="00B4213C"/>
    <w:rsid w:val="00B421FF"/>
    <w:rsid w:val="00B442CD"/>
    <w:rsid w:val="00B4497F"/>
    <w:rsid w:val="00B44B0C"/>
    <w:rsid w:val="00B5041B"/>
    <w:rsid w:val="00B51B18"/>
    <w:rsid w:val="00B535D3"/>
    <w:rsid w:val="00B53A99"/>
    <w:rsid w:val="00B5474A"/>
    <w:rsid w:val="00B553B5"/>
    <w:rsid w:val="00B55792"/>
    <w:rsid w:val="00B55D36"/>
    <w:rsid w:val="00B5770D"/>
    <w:rsid w:val="00B60F5C"/>
    <w:rsid w:val="00B62FD1"/>
    <w:rsid w:val="00B667E8"/>
    <w:rsid w:val="00B67B9E"/>
    <w:rsid w:val="00B77958"/>
    <w:rsid w:val="00B80DC8"/>
    <w:rsid w:val="00B820F5"/>
    <w:rsid w:val="00B835F0"/>
    <w:rsid w:val="00B8493D"/>
    <w:rsid w:val="00B91F0B"/>
    <w:rsid w:val="00B9386D"/>
    <w:rsid w:val="00B94CB6"/>
    <w:rsid w:val="00B96713"/>
    <w:rsid w:val="00BA031E"/>
    <w:rsid w:val="00BA0E27"/>
    <w:rsid w:val="00BA1E37"/>
    <w:rsid w:val="00BA27D3"/>
    <w:rsid w:val="00BA7388"/>
    <w:rsid w:val="00BB1569"/>
    <w:rsid w:val="00BB78DC"/>
    <w:rsid w:val="00BC01C1"/>
    <w:rsid w:val="00BC4794"/>
    <w:rsid w:val="00BC5B46"/>
    <w:rsid w:val="00BC66EE"/>
    <w:rsid w:val="00BD0F13"/>
    <w:rsid w:val="00BE238C"/>
    <w:rsid w:val="00BE3E3A"/>
    <w:rsid w:val="00BE3FC8"/>
    <w:rsid w:val="00BE547B"/>
    <w:rsid w:val="00BE556C"/>
    <w:rsid w:val="00BE5EF0"/>
    <w:rsid w:val="00BF1C14"/>
    <w:rsid w:val="00BF33B5"/>
    <w:rsid w:val="00BF4890"/>
    <w:rsid w:val="00BF5D14"/>
    <w:rsid w:val="00BF6247"/>
    <w:rsid w:val="00BF6C45"/>
    <w:rsid w:val="00C00864"/>
    <w:rsid w:val="00C01926"/>
    <w:rsid w:val="00C0309D"/>
    <w:rsid w:val="00C03631"/>
    <w:rsid w:val="00C041D2"/>
    <w:rsid w:val="00C04A82"/>
    <w:rsid w:val="00C04FDF"/>
    <w:rsid w:val="00C07B75"/>
    <w:rsid w:val="00C10308"/>
    <w:rsid w:val="00C111EC"/>
    <w:rsid w:val="00C11BA7"/>
    <w:rsid w:val="00C14001"/>
    <w:rsid w:val="00C14D1C"/>
    <w:rsid w:val="00C14F40"/>
    <w:rsid w:val="00C17CC9"/>
    <w:rsid w:val="00C22FAC"/>
    <w:rsid w:val="00C23869"/>
    <w:rsid w:val="00C23B33"/>
    <w:rsid w:val="00C2549E"/>
    <w:rsid w:val="00C27420"/>
    <w:rsid w:val="00C31001"/>
    <w:rsid w:val="00C31400"/>
    <w:rsid w:val="00C34169"/>
    <w:rsid w:val="00C40E44"/>
    <w:rsid w:val="00C416DE"/>
    <w:rsid w:val="00C4357F"/>
    <w:rsid w:val="00C44BC7"/>
    <w:rsid w:val="00C44EDC"/>
    <w:rsid w:val="00C507A2"/>
    <w:rsid w:val="00C50C25"/>
    <w:rsid w:val="00C51417"/>
    <w:rsid w:val="00C514D1"/>
    <w:rsid w:val="00C514F4"/>
    <w:rsid w:val="00C531EC"/>
    <w:rsid w:val="00C540AB"/>
    <w:rsid w:val="00C54FAE"/>
    <w:rsid w:val="00C55843"/>
    <w:rsid w:val="00C575FC"/>
    <w:rsid w:val="00C577E7"/>
    <w:rsid w:val="00C608B9"/>
    <w:rsid w:val="00C6593E"/>
    <w:rsid w:val="00C65F49"/>
    <w:rsid w:val="00C66FB3"/>
    <w:rsid w:val="00C704F9"/>
    <w:rsid w:val="00C74D3E"/>
    <w:rsid w:val="00C760D3"/>
    <w:rsid w:val="00C814BB"/>
    <w:rsid w:val="00C8697D"/>
    <w:rsid w:val="00C922C7"/>
    <w:rsid w:val="00C94AE2"/>
    <w:rsid w:val="00CA34CF"/>
    <w:rsid w:val="00CA4F89"/>
    <w:rsid w:val="00CA5591"/>
    <w:rsid w:val="00CA5D7E"/>
    <w:rsid w:val="00CA6801"/>
    <w:rsid w:val="00CB5139"/>
    <w:rsid w:val="00CB7548"/>
    <w:rsid w:val="00CB7C84"/>
    <w:rsid w:val="00CC0D37"/>
    <w:rsid w:val="00CC1596"/>
    <w:rsid w:val="00CC4D53"/>
    <w:rsid w:val="00CC7EC5"/>
    <w:rsid w:val="00CD1019"/>
    <w:rsid w:val="00CD10AC"/>
    <w:rsid w:val="00CD2B70"/>
    <w:rsid w:val="00CD40ED"/>
    <w:rsid w:val="00CD62FC"/>
    <w:rsid w:val="00CD6843"/>
    <w:rsid w:val="00CD69C6"/>
    <w:rsid w:val="00CE0570"/>
    <w:rsid w:val="00CE452C"/>
    <w:rsid w:val="00CE72EE"/>
    <w:rsid w:val="00CE7E2F"/>
    <w:rsid w:val="00CF0627"/>
    <w:rsid w:val="00CF0B44"/>
    <w:rsid w:val="00CF292F"/>
    <w:rsid w:val="00CF30D0"/>
    <w:rsid w:val="00CF3778"/>
    <w:rsid w:val="00CF3824"/>
    <w:rsid w:val="00CF3860"/>
    <w:rsid w:val="00D008E0"/>
    <w:rsid w:val="00D02AA5"/>
    <w:rsid w:val="00D02C57"/>
    <w:rsid w:val="00D0327F"/>
    <w:rsid w:val="00D05E78"/>
    <w:rsid w:val="00D06E40"/>
    <w:rsid w:val="00D10605"/>
    <w:rsid w:val="00D11F40"/>
    <w:rsid w:val="00D137A9"/>
    <w:rsid w:val="00D13C19"/>
    <w:rsid w:val="00D15138"/>
    <w:rsid w:val="00D16002"/>
    <w:rsid w:val="00D1773E"/>
    <w:rsid w:val="00D2114D"/>
    <w:rsid w:val="00D21369"/>
    <w:rsid w:val="00D21D01"/>
    <w:rsid w:val="00D25212"/>
    <w:rsid w:val="00D2590C"/>
    <w:rsid w:val="00D31781"/>
    <w:rsid w:val="00D32C36"/>
    <w:rsid w:val="00D32CF0"/>
    <w:rsid w:val="00D3504C"/>
    <w:rsid w:val="00D35A2B"/>
    <w:rsid w:val="00D35D83"/>
    <w:rsid w:val="00D37776"/>
    <w:rsid w:val="00D37C75"/>
    <w:rsid w:val="00D428E4"/>
    <w:rsid w:val="00D4485A"/>
    <w:rsid w:val="00D455BB"/>
    <w:rsid w:val="00D461C3"/>
    <w:rsid w:val="00D4717C"/>
    <w:rsid w:val="00D475D2"/>
    <w:rsid w:val="00D51BBB"/>
    <w:rsid w:val="00D5688C"/>
    <w:rsid w:val="00D57D00"/>
    <w:rsid w:val="00D62BE9"/>
    <w:rsid w:val="00D65179"/>
    <w:rsid w:val="00D74C5D"/>
    <w:rsid w:val="00D8378B"/>
    <w:rsid w:val="00D85A4B"/>
    <w:rsid w:val="00D8661C"/>
    <w:rsid w:val="00D908B5"/>
    <w:rsid w:val="00D91284"/>
    <w:rsid w:val="00D92F22"/>
    <w:rsid w:val="00D93EFA"/>
    <w:rsid w:val="00D9585C"/>
    <w:rsid w:val="00D97908"/>
    <w:rsid w:val="00DA09FE"/>
    <w:rsid w:val="00DA0EAA"/>
    <w:rsid w:val="00DA2338"/>
    <w:rsid w:val="00DA44B8"/>
    <w:rsid w:val="00DA4E8C"/>
    <w:rsid w:val="00DA76EF"/>
    <w:rsid w:val="00DB0627"/>
    <w:rsid w:val="00DB1D31"/>
    <w:rsid w:val="00DB3158"/>
    <w:rsid w:val="00DB55C6"/>
    <w:rsid w:val="00DB5B59"/>
    <w:rsid w:val="00DB67B2"/>
    <w:rsid w:val="00DB78C0"/>
    <w:rsid w:val="00DC678C"/>
    <w:rsid w:val="00DC73B5"/>
    <w:rsid w:val="00DC74AB"/>
    <w:rsid w:val="00DD3118"/>
    <w:rsid w:val="00DD3402"/>
    <w:rsid w:val="00DD7906"/>
    <w:rsid w:val="00DE26BD"/>
    <w:rsid w:val="00DE3554"/>
    <w:rsid w:val="00DE3CD3"/>
    <w:rsid w:val="00DE3F75"/>
    <w:rsid w:val="00DE40EB"/>
    <w:rsid w:val="00DF0A6A"/>
    <w:rsid w:val="00DF1BF4"/>
    <w:rsid w:val="00DF2F27"/>
    <w:rsid w:val="00DF6830"/>
    <w:rsid w:val="00DF736D"/>
    <w:rsid w:val="00E026FB"/>
    <w:rsid w:val="00E03B3C"/>
    <w:rsid w:val="00E062FC"/>
    <w:rsid w:val="00E11072"/>
    <w:rsid w:val="00E120AB"/>
    <w:rsid w:val="00E12686"/>
    <w:rsid w:val="00E13BDA"/>
    <w:rsid w:val="00E14AFB"/>
    <w:rsid w:val="00E15742"/>
    <w:rsid w:val="00E162E0"/>
    <w:rsid w:val="00E267A3"/>
    <w:rsid w:val="00E26ABF"/>
    <w:rsid w:val="00E364D6"/>
    <w:rsid w:val="00E37554"/>
    <w:rsid w:val="00E408E5"/>
    <w:rsid w:val="00E42AB2"/>
    <w:rsid w:val="00E45AEB"/>
    <w:rsid w:val="00E5012F"/>
    <w:rsid w:val="00E507B3"/>
    <w:rsid w:val="00E51545"/>
    <w:rsid w:val="00E52133"/>
    <w:rsid w:val="00E523D2"/>
    <w:rsid w:val="00E53982"/>
    <w:rsid w:val="00E54971"/>
    <w:rsid w:val="00E550B6"/>
    <w:rsid w:val="00E55962"/>
    <w:rsid w:val="00E64427"/>
    <w:rsid w:val="00E65284"/>
    <w:rsid w:val="00E70858"/>
    <w:rsid w:val="00E72CAF"/>
    <w:rsid w:val="00E743A2"/>
    <w:rsid w:val="00E75AE1"/>
    <w:rsid w:val="00E772A7"/>
    <w:rsid w:val="00E77BC1"/>
    <w:rsid w:val="00E80057"/>
    <w:rsid w:val="00E8147A"/>
    <w:rsid w:val="00E82C72"/>
    <w:rsid w:val="00E87485"/>
    <w:rsid w:val="00E901FE"/>
    <w:rsid w:val="00E9077D"/>
    <w:rsid w:val="00E92884"/>
    <w:rsid w:val="00E94356"/>
    <w:rsid w:val="00E954FE"/>
    <w:rsid w:val="00E95F2F"/>
    <w:rsid w:val="00E95F32"/>
    <w:rsid w:val="00E966FA"/>
    <w:rsid w:val="00E96A93"/>
    <w:rsid w:val="00EA1FAF"/>
    <w:rsid w:val="00EA2A9B"/>
    <w:rsid w:val="00EA3CA0"/>
    <w:rsid w:val="00EA780E"/>
    <w:rsid w:val="00EB008A"/>
    <w:rsid w:val="00EB4A26"/>
    <w:rsid w:val="00EB615C"/>
    <w:rsid w:val="00EB68CA"/>
    <w:rsid w:val="00EB6D29"/>
    <w:rsid w:val="00EC42F9"/>
    <w:rsid w:val="00EC644F"/>
    <w:rsid w:val="00ED0B8F"/>
    <w:rsid w:val="00ED1C4C"/>
    <w:rsid w:val="00ED1E0B"/>
    <w:rsid w:val="00EE4DB3"/>
    <w:rsid w:val="00EE5181"/>
    <w:rsid w:val="00EE647F"/>
    <w:rsid w:val="00EF073E"/>
    <w:rsid w:val="00EF1FB1"/>
    <w:rsid w:val="00EF46EE"/>
    <w:rsid w:val="00EF4A5E"/>
    <w:rsid w:val="00F00ADA"/>
    <w:rsid w:val="00F02BDC"/>
    <w:rsid w:val="00F054CB"/>
    <w:rsid w:val="00F13CFD"/>
    <w:rsid w:val="00F2494D"/>
    <w:rsid w:val="00F24DC9"/>
    <w:rsid w:val="00F261E3"/>
    <w:rsid w:val="00F3174E"/>
    <w:rsid w:val="00F33D54"/>
    <w:rsid w:val="00F364CF"/>
    <w:rsid w:val="00F36845"/>
    <w:rsid w:val="00F4115C"/>
    <w:rsid w:val="00F44A88"/>
    <w:rsid w:val="00F44CDE"/>
    <w:rsid w:val="00F46D3B"/>
    <w:rsid w:val="00F50B95"/>
    <w:rsid w:val="00F52D9D"/>
    <w:rsid w:val="00F5364B"/>
    <w:rsid w:val="00F5371F"/>
    <w:rsid w:val="00F57FDE"/>
    <w:rsid w:val="00F606BC"/>
    <w:rsid w:val="00F619E7"/>
    <w:rsid w:val="00F638A3"/>
    <w:rsid w:val="00F67A11"/>
    <w:rsid w:val="00F706A7"/>
    <w:rsid w:val="00F71EEE"/>
    <w:rsid w:val="00F7431E"/>
    <w:rsid w:val="00F76A2E"/>
    <w:rsid w:val="00F77AF9"/>
    <w:rsid w:val="00F77FD3"/>
    <w:rsid w:val="00F809E0"/>
    <w:rsid w:val="00F80A49"/>
    <w:rsid w:val="00F82DD4"/>
    <w:rsid w:val="00F8353E"/>
    <w:rsid w:val="00F855F6"/>
    <w:rsid w:val="00F90C90"/>
    <w:rsid w:val="00F90E83"/>
    <w:rsid w:val="00F93286"/>
    <w:rsid w:val="00F93719"/>
    <w:rsid w:val="00F945BB"/>
    <w:rsid w:val="00F95743"/>
    <w:rsid w:val="00FA0A0B"/>
    <w:rsid w:val="00FA3580"/>
    <w:rsid w:val="00FA4693"/>
    <w:rsid w:val="00FA6335"/>
    <w:rsid w:val="00FA6C71"/>
    <w:rsid w:val="00FA7FA7"/>
    <w:rsid w:val="00FB2710"/>
    <w:rsid w:val="00FB41D7"/>
    <w:rsid w:val="00FB5AA3"/>
    <w:rsid w:val="00FB5F91"/>
    <w:rsid w:val="00FC04C6"/>
    <w:rsid w:val="00FC263A"/>
    <w:rsid w:val="00FC5A76"/>
    <w:rsid w:val="00FC7E3E"/>
    <w:rsid w:val="00FD05AA"/>
    <w:rsid w:val="00FD4006"/>
    <w:rsid w:val="00FD5992"/>
    <w:rsid w:val="00FD642E"/>
    <w:rsid w:val="00FD6AF0"/>
    <w:rsid w:val="00FD6C8A"/>
    <w:rsid w:val="00FD7217"/>
    <w:rsid w:val="00FE00D4"/>
    <w:rsid w:val="00FE01E5"/>
    <w:rsid w:val="00FE259C"/>
    <w:rsid w:val="00FE2F1C"/>
    <w:rsid w:val="00FE759B"/>
    <w:rsid w:val="00FE7790"/>
    <w:rsid w:val="00FF28B4"/>
    <w:rsid w:val="00FF322A"/>
    <w:rsid w:val="00FF38F5"/>
    <w:rsid w:val="00FF454B"/>
    <w:rsid w:val="00FF51EA"/>
    <w:rsid w:val="00FF54E4"/>
    <w:rsid w:val="024A1161"/>
    <w:rsid w:val="03391E3F"/>
    <w:rsid w:val="05B50C40"/>
    <w:rsid w:val="0AF71948"/>
    <w:rsid w:val="0CA43690"/>
    <w:rsid w:val="0EF2351B"/>
    <w:rsid w:val="0F046A06"/>
    <w:rsid w:val="0FC330AE"/>
    <w:rsid w:val="0FE63B17"/>
    <w:rsid w:val="11C21124"/>
    <w:rsid w:val="163B713B"/>
    <w:rsid w:val="18FA5C1E"/>
    <w:rsid w:val="194536AD"/>
    <w:rsid w:val="1A87121E"/>
    <w:rsid w:val="1E027C84"/>
    <w:rsid w:val="21B62720"/>
    <w:rsid w:val="22815F45"/>
    <w:rsid w:val="23E22194"/>
    <w:rsid w:val="2AC17DC6"/>
    <w:rsid w:val="2B40005E"/>
    <w:rsid w:val="2D401830"/>
    <w:rsid w:val="2DCB0DBA"/>
    <w:rsid w:val="2EE175C3"/>
    <w:rsid w:val="3407563E"/>
    <w:rsid w:val="383E54B2"/>
    <w:rsid w:val="3C043679"/>
    <w:rsid w:val="3E4B674B"/>
    <w:rsid w:val="3FE26D09"/>
    <w:rsid w:val="40D05471"/>
    <w:rsid w:val="43215238"/>
    <w:rsid w:val="457D745F"/>
    <w:rsid w:val="4630791B"/>
    <w:rsid w:val="46B47F03"/>
    <w:rsid w:val="48D95A6C"/>
    <w:rsid w:val="490217F4"/>
    <w:rsid w:val="4D330894"/>
    <w:rsid w:val="4D366663"/>
    <w:rsid w:val="502A4342"/>
    <w:rsid w:val="50705323"/>
    <w:rsid w:val="51C250E3"/>
    <w:rsid w:val="53671E6C"/>
    <w:rsid w:val="5417719D"/>
    <w:rsid w:val="58740998"/>
    <w:rsid w:val="59984418"/>
    <w:rsid w:val="5C014E5F"/>
    <w:rsid w:val="5CD37306"/>
    <w:rsid w:val="5E211DC7"/>
    <w:rsid w:val="5F097D0C"/>
    <w:rsid w:val="602B7E07"/>
    <w:rsid w:val="60307A38"/>
    <w:rsid w:val="623D1EAA"/>
    <w:rsid w:val="62582510"/>
    <w:rsid w:val="659D0F3A"/>
    <w:rsid w:val="671072D4"/>
    <w:rsid w:val="6AD13DCA"/>
    <w:rsid w:val="6F680A37"/>
    <w:rsid w:val="73EB6929"/>
    <w:rsid w:val="763E4180"/>
    <w:rsid w:val="763F1C01"/>
    <w:rsid w:val="79D34FE1"/>
    <w:rsid w:val="7A2221C1"/>
    <w:rsid w:val="7A32484B"/>
    <w:rsid w:val="7C136585"/>
    <w:rsid w:val="7CD35E3F"/>
    <w:rsid w:val="7E236744"/>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w:hAnsi="Times" w:eastAsiaTheme="minorEastAsia" w:cstheme="minorBidi"/>
      <w:lang w:val="en-US" w:eastAsia="zh-CN" w:bidi="ar-SA"/>
    </w:rPr>
  </w:style>
  <w:style w:type="paragraph" w:styleId="2">
    <w:name w:val="heading 1"/>
    <w:basedOn w:val="1"/>
    <w:next w:val="1"/>
    <w:link w:val="5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5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7">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qFormat/>
    <w:uiPriority w:val="39"/>
    <w:pPr>
      <w:ind w:left="2520" w:leftChars="1200"/>
    </w:pPr>
  </w:style>
  <w:style w:type="paragraph" w:styleId="5">
    <w:name w:val="toc 5"/>
    <w:basedOn w:val="1"/>
    <w:next w:val="1"/>
    <w:unhideWhenUsed/>
    <w:qFormat/>
    <w:uiPriority w:val="39"/>
    <w:pPr>
      <w:ind w:left="1680" w:leftChars="800"/>
    </w:pPr>
  </w:style>
  <w:style w:type="paragraph" w:styleId="6">
    <w:name w:val="toc 3"/>
    <w:basedOn w:val="1"/>
    <w:next w:val="1"/>
    <w:unhideWhenUsed/>
    <w:qFormat/>
    <w:uiPriority w:val="39"/>
    <w:pPr>
      <w:ind w:left="840" w:leftChars="400"/>
    </w:pPr>
  </w:style>
  <w:style w:type="paragraph" w:styleId="7">
    <w:name w:val="toc 8"/>
    <w:basedOn w:val="1"/>
    <w:next w:val="1"/>
    <w:unhideWhenUsed/>
    <w:qFormat/>
    <w:uiPriority w:val="39"/>
    <w:pPr>
      <w:ind w:left="2940" w:leftChars="1400"/>
    </w:pPr>
  </w:style>
  <w:style w:type="paragraph" w:styleId="8">
    <w:name w:val="Balloon Text"/>
    <w:basedOn w:val="1"/>
    <w:link w:val="33"/>
    <w:unhideWhenUsed/>
    <w:qFormat/>
    <w:uiPriority w:val="99"/>
    <w:pPr>
      <w:widowControl w:val="0"/>
      <w:jc w:val="both"/>
    </w:pPr>
    <w:rPr>
      <w:rFonts w:asciiTheme="minorHAnsi" w:hAnsiTheme="minorHAnsi"/>
      <w:kern w:val="2"/>
      <w:sz w:val="18"/>
      <w:szCs w:val="18"/>
    </w:rPr>
  </w:style>
  <w:style w:type="paragraph" w:styleId="9">
    <w:name w:val="footer"/>
    <w:basedOn w:val="1"/>
    <w:link w:val="28"/>
    <w:unhideWhenUsed/>
    <w:qFormat/>
    <w:uiPriority w:val="99"/>
    <w:pPr>
      <w:widowControl w:val="0"/>
      <w:tabs>
        <w:tab w:val="center" w:pos="4153"/>
        <w:tab w:val="right" w:pos="8306"/>
      </w:tabs>
      <w:snapToGrid w:val="0"/>
    </w:pPr>
    <w:rPr>
      <w:rFonts w:asciiTheme="minorHAnsi" w:hAnsiTheme="minorHAnsi"/>
      <w:kern w:val="2"/>
      <w:sz w:val="18"/>
      <w:szCs w:val="18"/>
    </w:rPr>
  </w:style>
  <w:style w:type="paragraph" w:styleId="10">
    <w:name w:val="header"/>
    <w:basedOn w:val="1"/>
    <w:link w:val="27"/>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kern w:val="2"/>
      <w:sz w:val="18"/>
      <w:szCs w:val="18"/>
    </w:rPr>
  </w:style>
  <w:style w:type="paragraph" w:styleId="11">
    <w:name w:val="toc 1"/>
    <w:basedOn w:val="1"/>
    <w:next w:val="1"/>
    <w:unhideWhenUsed/>
    <w:qFormat/>
    <w:uiPriority w:val="39"/>
  </w:style>
  <w:style w:type="paragraph" w:styleId="12">
    <w:name w:val="toc 4"/>
    <w:basedOn w:val="1"/>
    <w:next w:val="1"/>
    <w:unhideWhenUsed/>
    <w:qFormat/>
    <w:uiPriority w:val="39"/>
    <w:pPr>
      <w:ind w:left="1260" w:leftChars="600"/>
    </w:pPr>
  </w:style>
  <w:style w:type="paragraph" w:styleId="13">
    <w:name w:val="toc 6"/>
    <w:basedOn w:val="1"/>
    <w:next w:val="1"/>
    <w:unhideWhenUsed/>
    <w:qFormat/>
    <w:uiPriority w:val="39"/>
    <w:pPr>
      <w:ind w:left="2100" w:leftChars="1000"/>
    </w:pPr>
  </w:style>
  <w:style w:type="paragraph" w:styleId="14">
    <w:name w:val="toc 2"/>
    <w:basedOn w:val="1"/>
    <w:next w:val="1"/>
    <w:unhideWhenUsed/>
    <w:qFormat/>
    <w:uiPriority w:val="39"/>
    <w:pPr>
      <w:ind w:left="420" w:leftChars="200"/>
    </w:pPr>
  </w:style>
  <w:style w:type="paragraph" w:styleId="15">
    <w:name w:val="toc 9"/>
    <w:basedOn w:val="1"/>
    <w:next w:val="1"/>
    <w:unhideWhenUsed/>
    <w:qFormat/>
    <w:uiPriority w:val="39"/>
    <w:pPr>
      <w:ind w:left="3360" w:leftChars="1600"/>
    </w:pPr>
  </w:style>
  <w:style w:type="paragraph" w:styleId="16">
    <w:name w:val="Normal (Web)"/>
    <w:basedOn w:val="1"/>
    <w:unhideWhenUsed/>
    <w:qFormat/>
    <w:uiPriority w:val="99"/>
    <w:pPr>
      <w:spacing w:before="100" w:beforeAutospacing="1" w:after="100" w:afterAutospacing="1"/>
    </w:pPr>
    <w:rPr>
      <w:rFonts w:cs="Times New Roman"/>
    </w:rPr>
  </w:style>
  <w:style w:type="character" w:styleId="18">
    <w:name w:val="Strong"/>
    <w:basedOn w:val="17"/>
    <w:qFormat/>
    <w:uiPriority w:val="22"/>
    <w:rPr>
      <w:b/>
      <w:bCs/>
    </w:rPr>
  </w:style>
  <w:style w:type="character" w:styleId="19">
    <w:name w:val="FollowedHyperlink"/>
    <w:basedOn w:val="17"/>
    <w:unhideWhenUsed/>
    <w:qFormat/>
    <w:uiPriority w:val="99"/>
    <w:rPr>
      <w:color w:val="800080" w:themeColor="followedHyperlink"/>
      <w:u w:val="single"/>
      <w14:textFill>
        <w14:solidFill>
          <w14:schemeClr w14:val="folHlink"/>
        </w14:solidFill>
      </w14:textFill>
    </w:rPr>
  </w:style>
  <w:style w:type="character" w:styleId="20">
    <w:name w:val="Hyperlink"/>
    <w:basedOn w:val="17"/>
    <w:unhideWhenUsed/>
    <w:qFormat/>
    <w:uiPriority w:val="99"/>
    <w:rPr>
      <w:color w:val="0000FF" w:themeColor="hyperlink"/>
      <w:u w:val="single"/>
      <w14:textFill>
        <w14:solidFill>
          <w14:schemeClr w14:val="hlink"/>
        </w14:solidFill>
      </w14:textFill>
    </w:r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3">
    <w:name w:val="Light Shading Accent 4"/>
    <w:basedOn w:val="21"/>
    <w:qFormat/>
    <w:uiPriority w:val="60"/>
    <w:rPr>
      <w:color w:val="604A7B" w:themeColor="accent4" w:themeShade="BF"/>
    </w:rPr>
    <w:tblPr>
      <w:tblBorders>
        <w:top w:val="single" w:color="8064A2" w:themeColor="accent4" w:sz="8" w:space="0"/>
        <w:bottom w:val="single" w:color="8064A2" w:themeColor="accent4" w:sz="8" w:space="0"/>
      </w:tblBorders>
      <w:tblLayout w:type="fixed"/>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24">
    <w:name w:val="Medium List 1 Accent 3"/>
    <w:basedOn w:val="21"/>
    <w:qFormat/>
    <w:uiPriority w:val="65"/>
    <w:rPr>
      <w:color w:val="000000" w:themeColor="text1"/>
      <w14:textFill>
        <w14:solidFill>
          <w14:schemeClr w14:val="tx1"/>
        </w14:solidFill>
      </w14:textFill>
    </w:rPr>
    <w:tblPr>
      <w:tblBorders>
        <w:top w:val="single" w:color="9BBB59" w:themeColor="accent3" w:sz="8" w:space="0"/>
        <w:bottom w:val="single" w:color="9BBB59" w:themeColor="accent3"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blLayout w:type="fixed"/>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blLayout w:type="fixed"/>
      </w:tblPr>
      <w:tcPr>
        <w:tcBorders>
          <w:top w:val="single" w:color="9BBB59" w:themeColor="accent3" w:sz="8" w:space="0"/>
          <w:bottom w:val="single" w:color="9BBB59" w:themeColor="accent3" w:sz="8" w:space="0"/>
        </w:tcBorders>
      </w:tcPr>
    </w:tblStylePr>
    <w:tblStylePr w:type="band1Vert">
      <w:tblPr>
        <w:tblLayout w:type="fixed"/>
      </w:tblPr>
      <w:tcPr>
        <w:shd w:val="clear" w:color="auto" w:fill="E6EED5" w:themeFill="accent3" w:themeFillTint="3F"/>
      </w:tcPr>
    </w:tblStylePr>
    <w:tblStylePr w:type="band1Horz">
      <w:tblPr>
        <w:tblLayout w:type="fixed"/>
      </w:tblPr>
      <w:tcPr>
        <w:shd w:val="clear" w:color="auto" w:fill="E6EED5" w:themeFill="accent3" w:themeFillTint="3F"/>
      </w:tcPr>
    </w:tblStylePr>
  </w:style>
  <w:style w:type="table" w:styleId="25">
    <w:name w:val="Medium List 1 Accent 4"/>
    <w:basedOn w:val="21"/>
    <w:qFormat/>
    <w:uiPriority w:val="65"/>
    <w:rPr>
      <w:color w:val="000000" w:themeColor="text1"/>
      <w14:textFill>
        <w14:solidFill>
          <w14:schemeClr w14:val="tx1"/>
        </w14:solidFill>
      </w14:textFill>
    </w:rPr>
    <w:tblPr>
      <w:tblBorders>
        <w:top w:val="single" w:color="8064A2" w:themeColor="accent4" w:sz="8" w:space="0"/>
        <w:bottom w:val="single" w:color="8064A2" w:themeColor="accent4"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blLayout w:type="fixed"/>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blLayout w:type="fixed"/>
      </w:tblPr>
      <w:tcPr>
        <w:tcBorders>
          <w:top w:val="single" w:color="8064A2" w:themeColor="accent4" w:sz="8" w:space="0"/>
          <w:bottom w:val="single" w:color="8064A2" w:themeColor="accent4" w:sz="8" w:space="0"/>
        </w:tcBorders>
      </w:tcPr>
    </w:tblStylePr>
    <w:tblStylePr w:type="band1Vert">
      <w:tblPr>
        <w:tblLayout w:type="fixed"/>
      </w:tblPr>
      <w:tcPr>
        <w:shd w:val="clear" w:color="auto" w:fill="DFD8E8" w:themeFill="accent4" w:themeFillTint="3F"/>
      </w:tcPr>
    </w:tblStylePr>
    <w:tblStylePr w:type="band1Horz">
      <w:tblPr>
        <w:tblLayout w:type="fixed"/>
      </w:tblPr>
      <w:tcPr>
        <w:shd w:val="clear" w:color="auto" w:fill="DFD8E8" w:themeFill="accent4" w:themeFillTint="3F"/>
      </w:tcPr>
    </w:tblStylePr>
  </w:style>
  <w:style w:type="table" w:styleId="26">
    <w:name w:val="Medium List 1 Accent 5"/>
    <w:basedOn w:val="21"/>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character" w:customStyle="1" w:styleId="27">
    <w:name w:val="页眉 字符"/>
    <w:basedOn w:val="17"/>
    <w:link w:val="10"/>
    <w:qFormat/>
    <w:uiPriority w:val="99"/>
    <w:rPr>
      <w:sz w:val="18"/>
      <w:szCs w:val="18"/>
    </w:rPr>
  </w:style>
  <w:style w:type="character" w:customStyle="1" w:styleId="28">
    <w:name w:val="页脚 字符"/>
    <w:basedOn w:val="17"/>
    <w:link w:val="9"/>
    <w:qFormat/>
    <w:uiPriority w:val="99"/>
    <w:rPr>
      <w:sz w:val="18"/>
      <w:szCs w:val="18"/>
    </w:rPr>
  </w:style>
  <w:style w:type="paragraph" w:customStyle="1" w:styleId="29">
    <w:name w:val="列出段落1"/>
    <w:basedOn w:val="1"/>
    <w:link w:val="38"/>
    <w:qFormat/>
    <w:uiPriority w:val="34"/>
    <w:pPr>
      <w:widowControl w:val="0"/>
      <w:ind w:firstLine="420" w:firstLineChars="200"/>
      <w:jc w:val="both"/>
    </w:pPr>
    <w:rPr>
      <w:rFonts w:asciiTheme="minorHAnsi" w:hAnsiTheme="minorHAnsi"/>
      <w:kern w:val="2"/>
      <w:sz w:val="21"/>
      <w:szCs w:val="22"/>
    </w:rPr>
  </w:style>
  <w:style w:type="table" w:customStyle="1" w:styleId="30">
    <w:name w:val="浅色列表 - 强调文字颜色 11"/>
    <w:basedOn w:val="21"/>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31">
    <w:name w:val="浅色底纹 - 强调文字颜色 11"/>
    <w:basedOn w:val="21"/>
    <w:qFormat/>
    <w:uiPriority w:val="60"/>
    <w:rPr>
      <w:color w:val="376092"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customStyle="1" w:styleId="32">
    <w:name w:val="浅色底纹1"/>
    <w:basedOn w:val="21"/>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customStyle="1" w:styleId="33">
    <w:name w:val="批注框文本 字符"/>
    <w:basedOn w:val="17"/>
    <w:link w:val="8"/>
    <w:semiHidden/>
    <w:qFormat/>
    <w:uiPriority w:val="99"/>
    <w:rPr>
      <w:sz w:val="18"/>
      <w:szCs w:val="18"/>
    </w:rPr>
  </w:style>
  <w:style w:type="table" w:customStyle="1" w:styleId="34">
    <w:name w:val="中等深浅列表 1 - 强调文字颜色 11"/>
    <w:basedOn w:val="21"/>
    <w:qFormat/>
    <w:uiPriority w:val="65"/>
    <w:rPr>
      <w:color w:val="000000" w:themeColor="text1"/>
      <w14:textFill>
        <w14:solidFill>
          <w14:schemeClr w14:val="tx1"/>
        </w14:solidFill>
      </w14:textFill>
    </w:rPr>
    <w:tblPr>
      <w:tblBorders>
        <w:top w:val="single" w:color="4F81BD" w:themeColor="accent1" w:sz="8" w:space="0"/>
        <w:bottom w:val="single" w:color="4F81BD" w:themeColor="accen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blLayout w:type="fixed"/>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blLayout w:type="fixed"/>
      </w:tblPr>
      <w:tcPr>
        <w:tcBorders>
          <w:top w:val="single" w:color="4F81BD" w:themeColor="accent1" w:sz="8" w:space="0"/>
          <w:bottom w:val="single" w:color="4F81BD" w:themeColor="accent1" w:sz="8" w:space="0"/>
        </w:tcBorders>
      </w:tcPr>
    </w:tblStylePr>
    <w:tblStylePr w:type="band1Vert">
      <w:tblPr>
        <w:tblLayout w:type="fixed"/>
      </w:tblPr>
      <w:tcPr>
        <w:shd w:val="clear" w:color="auto" w:fill="D3DFEE" w:themeFill="accent1" w:themeFillTint="3F"/>
      </w:tcPr>
    </w:tblStylePr>
    <w:tblStylePr w:type="band1Horz">
      <w:tblPr>
        <w:tblLayout w:type="fixed"/>
      </w:tblPr>
      <w:tcPr>
        <w:shd w:val="clear" w:color="auto" w:fill="D3DFEE" w:themeFill="accent1" w:themeFillTint="3F"/>
      </w:tcPr>
    </w:tblStylePr>
  </w:style>
  <w:style w:type="table" w:customStyle="1" w:styleId="35">
    <w:name w:val="中等深浅列表 11"/>
    <w:basedOn w:val="21"/>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customStyle="1" w:styleId="36">
    <w:name w:val="中等深浅底纹 21"/>
    <w:basedOn w:val="21"/>
    <w:qFormat/>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paragraph" w:customStyle="1" w:styleId="37">
    <w:name w:val="EndNote Bibliography Title"/>
    <w:basedOn w:val="1"/>
    <w:link w:val="39"/>
    <w:qFormat/>
    <w:uiPriority w:val="0"/>
    <w:pPr>
      <w:jc w:val="center"/>
    </w:pPr>
    <w:rPr>
      <w:rFonts w:cs="Times"/>
    </w:rPr>
  </w:style>
  <w:style w:type="character" w:customStyle="1" w:styleId="38">
    <w:name w:val="列出段落 Char"/>
    <w:basedOn w:val="17"/>
    <w:link w:val="29"/>
    <w:qFormat/>
    <w:uiPriority w:val="34"/>
  </w:style>
  <w:style w:type="character" w:customStyle="1" w:styleId="39">
    <w:name w:val="EndNote Bibliography Title Char"/>
    <w:basedOn w:val="38"/>
    <w:link w:val="37"/>
    <w:qFormat/>
    <w:uiPriority w:val="0"/>
    <w:rPr>
      <w:rFonts w:ascii="Times" w:hAnsi="Times" w:cs="Times"/>
      <w:kern w:val="0"/>
      <w:sz w:val="20"/>
      <w:szCs w:val="20"/>
    </w:rPr>
  </w:style>
  <w:style w:type="paragraph" w:customStyle="1" w:styleId="40">
    <w:name w:val="EndNote Bibliography"/>
    <w:basedOn w:val="1"/>
    <w:link w:val="41"/>
    <w:qFormat/>
    <w:uiPriority w:val="0"/>
    <w:rPr>
      <w:rFonts w:cs="Times"/>
    </w:rPr>
  </w:style>
  <w:style w:type="character" w:customStyle="1" w:styleId="41">
    <w:name w:val="EndNote Bibliography Char"/>
    <w:basedOn w:val="38"/>
    <w:link w:val="40"/>
    <w:qFormat/>
    <w:uiPriority w:val="0"/>
    <w:rPr>
      <w:rFonts w:ascii="Times" w:hAnsi="Times" w:cs="Times"/>
      <w:kern w:val="0"/>
      <w:sz w:val="20"/>
      <w:szCs w:val="20"/>
    </w:rPr>
  </w:style>
  <w:style w:type="paragraph" w:customStyle="1" w:styleId="4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zh-CN" w:bidi="ar-SA"/>
    </w:rPr>
  </w:style>
  <w:style w:type="character" w:customStyle="1" w:styleId="43">
    <w:name w:val="apple-converted-space"/>
    <w:basedOn w:val="17"/>
    <w:qFormat/>
    <w:uiPriority w:val="0"/>
  </w:style>
  <w:style w:type="table" w:customStyle="1" w:styleId="44">
    <w:name w:val="网格型1"/>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5">
    <w:name w:val="列出段落11"/>
    <w:basedOn w:val="1"/>
    <w:qFormat/>
    <w:uiPriority w:val="34"/>
    <w:pPr>
      <w:widowControl w:val="0"/>
      <w:ind w:firstLine="420" w:firstLineChars="200"/>
      <w:jc w:val="both"/>
    </w:pPr>
    <w:rPr>
      <w:kern w:val="2"/>
      <w:sz w:val="21"/>
    </w:rPr>
  </w:style>
  <w:style w:type="paragraph" w:customStyle="1" w:styleId="46">
    <w:name w:val="日期1"/>
    <w:basedOn w:val="1"/>
    <w:next w:val="1"/>
    <w:qFormat/>
    <w:uiPriority w:val="0"/>
    <w:pPr>
      <w:widowControl w:val="0"/>
      <w:jc w:val="right"/>
    </w:pPr>
    <w:rPr>
      <w:rFonts w:ascii="Times New Roman" w:hAnsi="Times New Roman" w:eastAsia="宋体" w:cs="Times New Roman"/>
      <w:color w:val="5590CC"/>
      <w:kern w:val="2"/>
      <w:sz w:val="24"/>
      <w:szCs w:val="24"/>
    </w:rPr>
  </w:style>
  <w:style w:type="paragraph" w:customStyle="1" w:styleId="47">
    <w:name w:val="Contact Details"/>
    <w:basedOn w:val="1"/>
    <w:qFormat/>
    <w:uiPriority w:val="0"/>
    <w:pPr>
      <w:widowControl w:val="0"/>
      <w:spacing w:before="80" w:after="80"/>
      <w:jc w:val="both"/>
    </w:pPr>
    <w:rPr>
      <w:rFonts w:ascii="Times New Roman" w:hAnsi="Times New Roman" w:eastAsia="宋体" w:cs="Times New Roman"/>
      <w:color w:val="FFFFFF"/>
      <w:kern w:val="2"/>
      <w:sz w:val="16"/>
      <w:szCs w:val="14"/>
    </w:rPr>
  </w:style>
  <w:style w:type="paragraph" w:customStyle="1" w:styleId="48">
    <w:name w:val="Organization"/>
    <w:basedOn w:val="1"/>
    <w:qFormat/>
    <w:uiPriority w:val="0"/>
    <w:pPr>
      <w:widowControl w:val="0"/>
      <w:spacing w:line="600" w:lineRule="exact"/>
      <w:jc w:val="both"/>
    </w:pPr>
    <w:rPr>
      <w:rFonts w:ascii="Calibri" w:hAnsi="Calibri" w:eastAsia="宋体" w:cs="Times New Roman"/>
      <w:color w:val="FFFFFF"/>
      <w:kern w:val="2"/>
      <w:sz w:val="56"/>
      <w:szCs w:val="36"/>
    </w:rPr>
  </w:style>
  <w:style w:type="paragraph" w:customStyle="1" w:styleId="49">
    <w:name w:val="无间隔1"/>
    <w:qFormat/>
    <w:uiPriority w:val="0"/>
    <w:rPr>
      <w:rFonts w:ascii="Times New Roman" w:hAnsi="Times New Roman" w:eastAsia="宋体" w:cstheme="minorBidi"/>
      <w:sz w:val="22"/>
      <w:lang w:val="en-US" w:eastAsia="zh-CN" w:bidi="ar-SA"/>
    </w:rPr>
  </w:style>
  <w:style w:type="character" w:customStyle="1" w:styleId="50">
    <w:name w:val="标题 1 Char"/>
    <w:basedOn w:val="17"/>
    <w:qFormat/>
    <w:uiPriority w:val="9"/>
    <w:rPr>
      <w:rFonts w:ascii="Times" w:hAnsi="Times"/>
      <w:b/>
      <w:bCs/>
      <w:kern w:val="44"/>
      <w:sz w:val="44"/>
      <w:szCs w:val="44"/>
    </w:rPr>
  </w:style>
  <w:style w:type="character" w:customStyle="1" w:styleId="51">
    <w:name w:val="标题 2 字符"/>
    <w:basedOn w:val="17"/>
    <w:link w:val="3"/>
    <w:qFormat/>
    <w:uiPriority w:val="9"/>
    <w:rPr>
      <w:rFonts w:asciiTheme="majorHAnsi" w:hAnsiTheme="majorHAnsi" w:eastAsiaTheme="majorEastAsia" w:cstheme="majorBidi"/>
      <w:b/>
      <w:bCs/>
      <w:sz w:val="32"/>
      <w:szCs w:val="32"/>
    </w:rPr>
  </w:style>
  <w:style w:type="paragraph" w:customStyle="1" w:styleId="52">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53">
    <w:name w:val="EndNote Bibliography 字符"/>
    <w:basedOn w:val="17"/>
    <w:qFormat/>
    <w:locked/>
    <w:uiPriority w:val="0"/>
    <w:rPr>
      <w:rFonts w:ascii="等线" w:hAnsi="等线" w:eastAsia="等线"/>
    </w:rPr>
  </w:style>
  <w:style w:type="table" w:customStyle="1" w:styleId="54">
    <w:name w:val="网格型2"/>
    <w:basedOn w:val="21"/>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5">
    <w:name w:val="列出段落2"/>
    <w:basedOn w:val="1"/>
    <w:link w:val="56"/>
    <w:qFormat/>
    <w:uiPriority w:val="34"/>
    <w:pPr>
      <w:widowControl w:val="0"/>
      <w:ind w:firstLine="420" w:firstLineChars="200"/>
      <w:jc w:val="both"/>
    </w:pPr>
    <w:rPr>
      <w:rFonts w:asciiTheme="minorHAnsi" w:hAnsiTheme="minorHAnsi"/>
      <w:kern w:val="2"/>
      <w:sz w:val="21"/>
      <w:szCs w:val="22"/>
    </w:rPr>
  </w:style>
  <w:style w:type="character" w:customStyle="1" w:styleId="56">
    <w:name w:val="列出段落 Char1"/>
    <w:basedOn w:val="17"/>
    <w:link w:val="55"/>
    <w:qFormat/>
    <w:uiPriority w:val="34"/>
    <w:rPr>
      <w:kern w:val="2"/>
      <w:sz w:val="21"/>
      <w:szCs w:val="22"/>
    </w:rPr>
  </w:style>
  <w:style w:type="table" w:customStyle="1" w:styleId="57">
    <w:name w:val="网格型3"/>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8">
    <w:name w:val="列出段落3"/>
    <w:basedOn w:val="1"/>
    <w:uiPriority w:val="99"/>
    <w:pPr>
      <w:ind w:firstLine="420" w:firstLineChars="200"/>
    </w:pPr>
  </w:style>
  <w:style w:type="character" w:customStyle="1" w:styleId="59">
    <w:name w:val="标题 1 字符"/>
    <w:basedOn w:val="17"/>
    <w:link w:val="2"/>
    <w:qFormat/>
    <w:uiPriority w:val="9"/>
    <w:rPr>
      <w:rFonts w:ascii="Times" w:hAnsi="Times"/>
      <w:b/>
      <w:bCs/>
      <w:kern w:val="44"/>
      <w:sz w:val="44"/>
      <w:szCs w:val="44"/>
    </w:rPr>
  </w:style>
  <w:style w:type="paragraph" w:customStyle="1" w:styleId="60">
    <w:name w:val="列出段落4"/>
    <w:basedOn w:val="1"/>
    <w:uiPriority w:val="99"/>
    <w:pPr>
      <w:ind w:firstLine="420" w:firstLineChars="200"/>
    </w:pPr>
  </w:style>
  <w:style w:type="table" w:customStyle="1" w:styleId="61">
    <w:name w:val="网格型4"/>
    <w:basedOn w:val="21"/>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62">
    <w:name w:val="网格型31"/>
    <w:basedOn w:val="21"/>
    <w:qFormat/>
    <w:uiPriority w:val="0"/>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3">
    <w:name w:val="List Paragraph"/>
    <w:basedOn w:val="1"/>
    <w:qFormat/>
    <w:uiPriority w:val="34"/>
    <w:pPr>
      <w:widowControl w:val="0"/>
      <w:ind w:firstLine="420" w:firstLineChars="200"/>
      <w:jc w:val="both"/>
    </w:pPr>
    <w:rPr>
      <w:rFonts w:asciiTheme="minorHAnsi" w:hAnsiTheme="minorHAnsi"/>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FD2395-4D12-4FC7-9442-584B60604B77}">
  <ds:schemaRefs/>
</ds:datastoreItem>
</file>

<file path=docProps/app.xml><?xml version="1.0" encoding="utf-8"?>
<Properties xmlns="http://schemas.openxmlformats.org/officeDocument/2006/extended-properties" xmlns:vt="http://schemas.openxmlformats.org/officeDocument/2006/docPropsVTypes">
  <Template>Normal.dotm</Template>
  <Company>报告编号：</Company>
  <Pages>30</Pages>
  <Words>7071</Words>
  <Characters>40310</Characters>
  <Lines>335</Lines>
  <Paragraphs>94</Paragraphs>
  <ScaleCrop>false</ScaleCrop>
  <LinksUpToDate>false</LinksUpToDate>
  <CharactersWithSpaces>47287</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2016-11-28T06:07:00Z</dcterms:created>
  <dc:creator>H01</dc:creator>
  <cp:lastModifiedBy>Arthur</cp:lastModifiedBy>
  <cp:lastPrinted>2017-07-14T08:48:00Z</cp:lastPrinted>
  <dcterms:modified xsi:type="dcterms:W3CDTF">2017-07-26T01:49:52Z</dcterms:modified>
  <dc:subject>Haplox LuC</dc:subject>
  <dc:title>基因检测报告</dc:title>
  <cp:revision>192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