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0639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APPENDIX F</w:t>
      </w:r>
    </w:p>
    <w:p w14:paraId="1468D10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Statistical Validation Methodology and Formulas</w:t>
      </w:r>
    </w:p>
    <w:p w14:paraId="1428A09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i/>
          <w:sz w:val="24"/>
          <w:szCs w:val="24"/>
        </w:rPr>
        <w:t>3D-PAWS observations compared with Kenya Meteorological Department (KMD) reference observations</w:t>
      </w:r>
    </w:p>
    <w:p w14:paraId="75A6660C"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F.1 Purpose</w:t>
      </w:r>
    </w:p>
    <w:p w14:paraId="0BA5D15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This appendix documents the statistical methodology used by the 3D-PAWS Validation Toolkit to quantify agreement between 3D-PAWS observations and corresponding KMD reference observations. It provides the definitions, equations, units and interpretation of the principal statistics reported in Chapter Seven and Appendix E. The methodology is designed to retain station-level and parameter-level differences so that local performance limitations are not concealed by network averaging.</w:t>
      </w:r>
    </w:p>
    <w:p w14:paraId="735D07E3"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F.2 Validation Data and Pairing</w:t>
      </w:r>
    </w:p>
    <w:p w14:paraId="5304976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Validation is based on the common period for which both a 3D-PAWS dataset and a corresponding KMD reference dataset are available. Observations are converted to numeric values, invalid/non-numeric values are excluded from the statistical calculation, and statistics are calculated only from paired 3D-PAWS–KMD observations.</w:t>
      </w:r>
    </w:p>
    <w:p w14:paraId="7230779F"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For the daily validation presented in Chapter Seven, observations are represented by comparable daily statistics such as maximum, minimum and mean temperature, maximum, minimum and mean relative humidity, maximum, minimum and mean pressure, and daily rainfall. The exact number of paired observations varies by station and parameter because of differences in data availability and temporal overlap.</w:t>
      </w:r>
    </w:p>
    <w:p w14:paraId="4869F39D"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F.3 Data-Quality and Availability Measures</w:t>
      </w:r>
    </w:p>
    <w:p w14:paraId="23B3BAC2"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F.3.1 Sensor-level validity</w:t>
      </w:r>
    </w:p>
    <w:p w14:paraId="41106D75"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Sensor validity is calculated from the number of observations that pass the implemented quality-control rules:</w:t>
      </w:r>
    </w:p>
    <w:p w14:paraId="2E43F833"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Validity (%) = (Number of valid observations / Total observations) × 100</w:t>
      </w:r>
    </w:p>
    <w:p w14:paraId="0095761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The validity percentage describes the proportion of observations retained after quality control. It is not a measure of agreement with KMD. A station may have high validity but still show substantial bias or error relative to the reference station.</w:t>
      </w:r>
    </w:p>
    <w:p w14:paraId="00DF7D90"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F.3.2 Paired-observation coverage</w:t>
      </w:r>
    </w:p>
    <w:p w14:paraId="18E0BBC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For the daily validation tables, coverage is calculated from paired and missing validation days:</w:t>
      </w:r>
    </w:p>
    <w:p w14:paraId="00919F8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Coverage (%) = Paired days / (Paired days + Missing days) × 100</w:t>
      </w:r>
    </w:p>
    <w:p w14:paraId="6DA2708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Coverage is reported alongside the statistical error measures because a strong statistical relationship based on a small or incomplete set of observations may not represent overall station performance.</w:t>
      </w:r>
    </w:p>
    <w:p w14:paraId="0BC49347"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lastRenderedPageBreak/>
        <w:t>F.4 Error Statistics</w:t>
      </w:r>
    </w:p>
    <w:p w14:paraId="0F52BB20"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F.4.1 Difference / error</w:t>
      </w:r>
    </w:p>
    <w:p w14:paraId="73E1742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For each paired observation i, the signed error is defined as the 3D-PAWS observation minus the KMD reference observation:</w:t>
      </w:r>
    </w:p>
    <w:p w14:paraId="2B3282A5"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eᵢ = Pᵢ − Kᵢ</w:t>
      </w:r>
    </w:p>
    <w:p w14:paraId="4BCAB28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where Pᵢ is the 3D-PAWS value and Kᵢ is the corresponding KMD value. A positive error indicates that 3D-PAWS is higher than KMD for that observation, while a negative error indicates that it is lower.</w:t>
      </w:r>
    </w:p>
    <w:p w14:paraId="3A2EF267"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F.4.2 Mean Bias</w:t>
      </w:r>
    </w:p>
    <w:p w14:paraId="361636B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Bias = (1/n) Σ(eᵢ)</w:t>
      </w:r>
    </w:p>
    <w:p w14:paraId="0D3D76B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Bias represents the average signed difference between 3D-PAWS and KMD. Values close to zero indicate little systematic offset. The sign identifies the direction of the average difference. Bias is reported in the same units as the variable being evaluated.</w:t>
      </w:r>
    </w:p>
    <w:p w14:paraId="09FF8CAB"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F.4.3 Mean Absolute Error (MAE)</w:t>
      </w:r>
    </w:p>
    <w:p w14:paraId="2BC4353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MAE = (1/n) Σ|eᵢ|</w:t>
      </w:r>
    </w:p>
    <w:p w14:paraId="213A688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MAE measures the average magnitude of the absolute differences without regard to direction. Unlike bias, positive and negative errors do not cancel. Lower MAE indicates closer agreement with the reference.</w:t>
      </w:r>
    </w:p>
    <w:p w14:paraId="58C9E6CD"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F.4.4 Root Mean Square Error (RMSE)</w:t>
      </w:r>
    </w:p>
    <w:p w14:paraId="54A830C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RMSE = √[(1/n) Σ(eᵢ²)]</w:t>
      </w:r>
    </w:p>
    <w:p w14:paraId="5364D24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RMSE measures the overall magnitude of error while giving greater influence to larger discrepancies because the errors are squared before averaging. RMSE is the principal error statistic used by the implemented performance-assessment framework for comparison with the configured WMO criteria.</w:t>
      </w:r>
    </w:p>
    <w:p w14:paraId="5DE3FBA1"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F.5 Correlation and Explained Variance</w:t>
      </w:r>
    </w:p>
    <w:p w14:paraId="0E3949C6"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F.5.1 Pearson correlation coefficient (r)</w:t>
      </w:r>
    </w:p>
    <w:p w14:paraId="46CFF530"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 xml:space="preserve">r = </w:t>
      </w:r>
      <w:proofErr w:type="gramStart"/>
      <w:r w:rsidRPr="00F87614">
        <w:rPr>
          <w:rFonts w:ascii="Times New Roman" w:hAnsi="Times New Roman" w:cs="Times New Roman"/>
          <w:b/>
          <w:sz w:val="24"/>
          <w:szCs w:val="24"/>
        </w:rPr>
        <w:t>Σ[</w:t>
      </w:r>
      <w:proofErr w:type="gramEnd"/>
      <w:r w:rsidRPr="00F87614">
        <w:rPr>
          <w:rFonts w:ascii="Times New Roman" w:hAnsi="Times New Roman" w:cs="Times New Roman"/>
          <w:b/>
          <w:sz w:val="24"/>
          <w:szCs w:val="24"/>
        </w:rPr>
        <w:t>(Pᵢ − P̄)(Kᵢ − K̄)] / √{Σ(Pᵢ − P̄)² · Σ(Kᵢ − K̄)²}</w:t>
      </w:r>
    </w:p>
    <w:p w14:paraId="32FE1E7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The toolkit calculates the Pearson correlation coefficient from the paired KMD and 3D-PAWS values. The coefficient ranges from −1 to +1 and describes the strength and direction of the linear relationship. A high correlation does not, by itself, demonstrate small measurement error because two datasets can vary together while maintaining a systematic offset.</w:t>
      </w:r>
    </w:p>
    <w:p w14:paraId="59E4520A"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F.5.2 Coefficient of determination (R²)</w:t>
      </w:r>
    </w:p>
    <w:p w14:paraId="272C1F0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R² = r²</w:t>
      </w:r>
    </w:p>
    <w:p w14:paraId="62B0124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For the implemented toolkit, R² is calculated as the square of the Pearson correlation coefficient. It represents the proportion of the linear variance represented by the squared correlation. R² is dimensionless and ranges from 0 to 1 when calculated in this manner.</w:t>
      </w:r>
    </w:p>
    <w:p w14:paraId="17B95455"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lastRenderedPageBreak/>
        <w:t>F.5.3 Handling of degenerate correlations</w:t>
      </w:r>
    </w:p>
    <w:p w14:paraId="3BE4F900"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Correlation and R² are not calculated when fewer than two paired observations are available or when either dataset has zero standard deviation. In such cases the result is reported as not available rather than assigning an artificial correlation.</w:t>
      </w:r>
    </w:p>
    <w:p w14:paraId="5A3150B6"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F.6 Parameter-Specific Treatment</w:t>
      </w:r>
    </w:p>
    <w:tbl>
      <w:tblPr>
        <w:tblStyle w:val="TableGrid"/>
        <w:tblW w:w="0" w:type="auto"/>
        <w:jc w:val="center"/>
        <w:tblLook w:val="04A0" w:firstRow="1" w:lastRow="0" w:firstColumn="1" w:lastColumn="0" w:noHBand="0" w:noVBand="1"/>
      </w:tblPr>
      <w:tblGrid>
        <w:gridCol w:w="2520"/>
        <w:gridCol w:w="2520"/>
        <w:gridCol w:w="2520"/>
        <w:gridCol w:w="2520"/>
      </w:tblGrid>
      <w:tr w:rsidR="00743546" w:rsidRPr="00F87614" w14:paraId="52065EB6" w14:textId="77777777">
        <w:trPr>
          <w:jc w:val="center"/>
        </w:trPr>
        <w:tc>
          <w:tcPr>
            <w:tcW w:w="2520" w:type="dxa"/>
            <w:shd w:val="clear" w:color="auto" w:fill="D9E2F3"/>
            <w:vAlign w:val="center"/>
          </w:tcPr>
          <w:p w14:paraId="30F23C8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Parameter</w:t>
            </w:r>
          </w:p>
        </w:tc>
        <w:tc>
          <w:tcPr>
            <w:tcW w:w="2520" w:type="dxa"/>
            <w:shd w:val="clear" w:color="auto" w:fill="D9E2F3"/>
            <w:vAlign w:val="center"/>
          </w:tcPr>
          <w:p w14:paraId="580985F3"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Primary comparison</w:t>
            </w:r>
          </w:p>
        </w:tc>
        <w:tc>
          <w:tcPr>
            <w:tcW w:w="2520" w:type="dxa"/>
            <w:shd w:val="clear" w:color="auto" w:fill="D9E2F3"/>
            <w:vAlign w:val="center"/>
          </w:tcPr>
          <w:p w14:paraId="006492DF"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Quality-control treatment</w:t>
            </w:r>
          </w:p>
        </w:tc>
        <w:tc>
          <w:tcPr>
            <w:tcW w:w="2520" w:type="dxa"/>
            <w:shd w:val="clear" w:color="auto" w:fill="D9E2F3"/>
            <w:vAlign w:val="center"/>
          </w:tcPr>
          <w:p w14:paraId="2D63357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Unit</w:t>
            </w:r>
          </w:p>
        </w:tc>
      </w:tr>
      <w:tr w:rsidR="00743546" w:rsidRPr="00F87614" w14:paraId="75FFEE05" w14:textId="77777777">
        <w:trPr>
          <w:jc w:val="center"/>
        </w:trPr>
        <w:tc>
          <w:tcPr>
            <w:tcW w:w="2520" w:type="dxa"/>
            <w:vAlign w:val="center"/>
          </w:tcPr>
          <w:p w14:paraId="596C3D7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Temperature</w:t>
            </w:r>
          </w:p>
        </w:tc>
        <w:tc>
          <w:tcPr>
            <w:tcW w:w="2520" w:type="dxa"/>
            <w:vAlign w:val="center"/>
          </w:tcPr>
          <w:p w14:paraId="287FC84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Daily maximum, minimum and mean</w:t>
            </w:r>
          </w:p>
        </w:tc>
        <w:tc>
          <w:tcPr>
            <w:tcW w:w="2520" w:type="dxa"/>
            <w:vAlign w:val="center"/>
          </w:tcPr>
          <w:p w14:paraId="49339D9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Invalid values excluded according to implemented QC rules</w:t>
            </w:r>
          </w:p>
        </w:tc>
        <w:tc>
          <w:tcPr>
            <w:tcW w:w="2520" w:type="dxa"/>
            <w:vAlign w:val="center"/>
          </w:tcPr>
          <w:p w14:paraId="5C319A7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°C / K</w:t>
            </w:r>
          </w:p>
        </w:tc>
      </w:tr>
      <w:tr w:rsidR="00743546" w:rsidRPr="00F87614" w14:paraId="455A6DAD" w14:textId="77777777">
        <w:trPr>
          <w:jc w:val="center"/>
        </w:trPr>
        <w:tc>
          <w:tcPr>
            <w:tcW w:w="2520" w:type="dxa"/>
            <w:vAlign w:val="center"/>
          </w:tcPr>
          <w:p w14:paraId="765B1C6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Relative humidity</w:t>
            </w:r>
          </w:p>
        </w:tc>
        <w:tc>
          <w:tcPr>
            <w:tcW w:w="2520" w:type="dxa"/>
            <w:vAlign w:val="center"/>
          </w:tcPr>
          <w:p w14:paraId="205D1BC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Daily maximum, minimum and mean</w:t>
            </w:r>
          </w:p>
        </w:tc>
        <w:tc>
          <w:tcPr>
            <w:tcW w:w="2520" w:type="dxa"/>
            <w:vAlign w:val="center"/>
          </w:tcPr>
          <w:p w14:paraId="2F00112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Values evaluated against the physical 0–100% range</w:t>
            </w:r>
          </w:p>
        </w:tc>
        <w:tc>
          <w:tcPr>
            <w:tcW w:w="2520" w:type="dxa"/>
            <w:vAlign w:val="center"/>
          </w:tcPr>
          <w:p w14:paraId="309E561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w:t>
            </w:r>
          </w:p>
        </w:tc>
      </w:tr>
      <w:tr w:rsidR="00743546" w:rsidRPr="00F87614" w14:paraId="0F7B1541" w14:textId="77777777">
        <w:trPr>
          <w:jc w:val="center"/>
        </w:trPr>
        <w:tc>
          <w:tcPr>
            <w:tcW w:w="2520" w:type="dxa"/>
            <w:vAlign w:val="center"/>
          </w:tcPr>
          <w:p w14:paraId="392E693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Atmospheric pressure</w:t>
            </w:r>
          </w:p>
        </w:tc>
        <w:tc>
          <w:tcPr>
            <w:tcW w:w="2520" w:type="dxa"/>
            <w:vAlign w:val="center"/>
          </w:tcPr>
          <w:p w14:paraId="4486C42F"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Daily maximum, minimum and mean</w:t>
            </w:r>
          </w:p>
        </w:tc>
        <w:tc>
          <w:tcPr>
            <w:tcW w:w="2520" w:type="dxa"/>
            <w:vAlign w:val="center"/>
          </w:tcPr>
          <w:p w14:paraId="0121262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Values checked against the operational range used by the toolkit</w:t>
            </w:r>
          </w:p>
        </w:tc>
        <w:tc>
          <w:tcPr>
            <w:tcW w:w="2520" w:type="dxa"/>
            <w:vAlign w:val="center"/>
          </w:tcPr>
          <w:p w14:paraId="6FC263C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hPa</w:t>
            </w:r>
          </w:p>
        </w:tc>
      </w:tr>
      <w:tr w:rsidR="00743546" w:rsidRPr="00F87614" w14:paraId="567F408B" w14:textId="77777777">
        <w:trPr>
          <w:jc w:val="center"/>
        </w:trPr>
        <w:tc>
          <w:tcPr>
            <w:tcW w:w="2520" w:type="dxa"/>
            <w:vAlign w:val="center"/>
          </w:tcPr>
          <w:p w14:paraId="7FEB079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Rainfall</w:t>
            </w:r>
          </w:p>
        </w:tc>
        <w:tc>
          <w:tcPr>
            <w:tcW w:w="2520" w:type="dxa"/>
            <w:vAlign w:val="center"/>
          </w:tcPr>
          <w:p w14:paraId="768F602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Daily rainfall, including RG1 and RG2 where available</w:t>
            </w:r>
          </w:p>
        </w:tc>
        <w:tc>
          <w:tcPr>
            <w:tcW w:w="2520" w:type="dxa"/>
            <w:vAlign w:val="center"/>
          </w:tcPr>
          <w:p w14:paraId="7567D363"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Zero is valid; negative values are invalid</w:t>
            </w:r>
          </w:p>
        </w:tc>
        <w:tc>
          <w:tcPr>
            <w:tcW w:w="2520" w:type="dxa"/>
            <w:vAlign w:val="center"/>
          </w:tcPr>
          <w:p w14:paraId="2B25717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mm</w:t>
            </w:r>
          </w:p>
        </w:tc>
      </w:tr>
    </w:tbl>
    <w:p w14:paraId="6ADBEB8F"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F.6.1 Rainfall treatment</w:t>
      </w:r>
    </w:p>
    <w:p w14:paraId="11E8CFB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Rainfall is treated separately from continuous meteorological variables because zero rainfall is a valid observation. A zero therefore remains in the paired dataset and is not interpreted as missing data. Only negative rainfall values are classified as invalid by the quality-control rule used in the toolkit.</w:t>
      </w:r>
    </w:p>
    <w:p w14:paraId="2B74DE85"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This treatment is important because removing zero-rainfall days would distort rainfall occurrence, frequency and accumulation statistics. Rainfall results are consequently interpreted using paired observations, coverage, gauge-to-reference consistency and the graphical comparison of daily observations.</w:t>
      </w:r>
    </w:p>
    <w:p w14:paraId="3D895BA6" w14:textId="77777777" w:rsidR="00743546" w:rsidRPr="00F87614" w:rsidRDefault="0012794D" w:rsidP="00BB6D53">
      <w:pPr>
        <w:pStyle w:val="Heading2"/>
        <w:jc w:val="both"/>
        <w:rPr>
          <w:rFonts w:ascii="Times New Roman" w:hAnsi="Times New Roman" w:cs="Times New Roman"/>
          <w:sz w:val="24"/>
          <w:szCs w:val="24"/>
        </w:rPr>
      </w:pPr>
      <w:r w:rsidRPr="00F87614">
        <w:rPr>
          <w:rFonts w:ascii="Times New Roman" w:hAnsi="Times New Roman" w:cs="Times New Roman"/>
          <w:sz w:val="24"/>
          <w:szCs w:val="24"/>
        </w:rPr>
        <w:t>F.6.2 Dual rain-gauge interpretation</w:t>
      </w:r>
    </w:p>
    <w:p w14:paraId="598DC625"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Where both 3D-PAWS rain gauges are available, RG1 and RG2 are retained as separate measurement streams. Their results can be compared with one another and with the KMD reference. This helps distinguish possible station-level rainfall discrepancies from broader transmission or reference-station differences.</w:t>
      </w:r>
    </w:p>
    <w:p w14:paraId="2EF7674A"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F.7 Performance Assessment Framework</w:t>
      </w:r>
    </w:p>
    <w:p w14:paraId="6442404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The implemented performance-assessment component compares RMSE against the configured WMO OSCAR criteria for the applicable variable. The toolkit retains the categories Goal, Breakthrough, Threshold and Below Threshold. The station reports used in Chapter Seven may display the applicable assessment category as part of the validation statistics.</w:t>
      </w:r>
    </w:p>
    <w:tbl>
      <w:tblPr>
        <w:tblStyle w:val="TableGrid"/>
        <w:tblW w:w="0" w:type="auto"/>
        <w:jc w:val="center"/>
        <w:tblLook w:val="04A0" w:firstRow="1" w:lastRow="0" w:firstColumn="1" w:lastColumn="0" w:noHBand="0" w:noVBand="1"/>
      </w:tblPr>
      <w:tblGrid>
        <w:gridCol w:w="2256"/>
        <w:gridCol w:w="1680"/>
        <w:gridCol w:w="1680"/>
        <w:gridCol w:w="1680"/>
        <w:gridCol w:w="1680"/>
        <w:gridCol w:w="1680"/>
      </w:tblGrid>
      <w:tr w:rsidR="00743546" w:rsidRPr="00F87614" w14:paraId="415F3122" w14:textId="77777777">
        <w:trPr>
          <w:jc w:val="center"/>
        </w:trPr>
        <w:tc>
          <w:tcPr>
            <w:tcW w:w="1680" w:type="dxa"/>
            <w:shd w:val="clear" w:color="auto" w:fill="D9E2F3"/>
            <w:vAlign w:val="center"/>
          </w:tcPr>
          <w:p w14:paraId="5CA98936"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Variable</w:t>
            </w:r>
          </w:p>
        </w:tc>
        <w:tc>
          <w:tcPr>
            <w:tcW w:w="1680" w:type="dxa"/>
            <w:shd w:val="clear" w:color="auto" w:fill="D9E2F3"/>
            <w:vAlign w:val="center"/>
          </w:tcPr>
          <w:p w14:paraId="6F01C22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Metric</w:t>
            </w:r>
          </w:p>
        </w:tc>
        <w:tc>
          <w:tcPr>
            <w:tcW w:w="1680" w:type="dxa"/>
            <w:shd w:val="clear" w:color="auto" w:fill="D9E2F3"/>
            <w:vAlign w:val="center"/>
          </w:tcPr>
          <w:p w14:paraId="3181E40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Goal</w:t>
            </w:r>
          </w:p>
        </w:tc>
        <w:tc>
          <w:tcPr>
            <w:tcW w:w="1680" w:type="dxa"/>
            <w:shd w:val="clear" w:color="auto" w:fill="D9E2F3"/>
            <w:vAlign w:val="center"/>
          </w:tcPr>
          <w:p w14:paraId="5F14B6D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Breakthrough</w:t>
            </w:r>
          </w:p>
        </w:tc>
        <w:tc>
          <w:tcPr>
            <w:tcW w:w="1680" w:type="dxa"/>
            <w:shd w:val="clear" w:color="auto" w:fill="D9E2F3"/>
            <w:vAlign w:val="center"/>
          </w:tcPr>
          <w:p w14:paraId="38B6D34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Threshold</w:t>
            </w:r>
          </w:p>
        </w:tc>
        <w:tc>
          <w:tcPr>
            <w:tcW w:w="1680" w:type="dxa"/>
            <w:shd w:val="clear" w:color="auto" w:fill="D9E2F3"/>
            <w:vAlign w:val="center"/>
          </w:tcPr>
          <w:p w14:paraId="58D36890"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Unit</w:t>
            </w:r>
          </w:p>
        </w:tc>
      </w:tr>
      <w:tr w:rsidR="00743546" w:rsidRPr="00F87614" w14:paraId="531D147F" w14:textId="77777777">
        <w:trPr>
          <w:jc w:val="center"/>
        </w:trPr>
        <w:tc>
          <w:tcPr>
            <w:tcW w:w="1680" w:type="dxa"/>
            <w:vAlign w:val="center"/>
          </w:tcPr>
          <w:p w14:paraId="7BECB080"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Air temperature (Tmax/Tmin/Tmean)</w:t>
            </w:r>
          </w:p>
        </w:tc>
        <w:tc>
          <w:tcPr>
            <w:tcW w:w="1680" w:type="dxa"/>
            <w:vAlign w:val="center"/>
          </w:tcPr>
          <w:p w14:paraId="423C25D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RMSE</w:t>
            </w:r>
          </w:p>
        </w:tc>
        <w:tc>
          <w:tcPr>
            <w:tcW w:w="1680" w:type="dxa"/>
            <w:vAlign w:val="center"/>
          </w:tcPr>
          <w:p w14:paraId="1883C4E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0.5</w:t>
            </w:r>
          </w:p>
        </w:tc>
        <w:tc>
          <w:tcPr>
            <w:tcW w:w="1680" w:type="dxa"/>
            <w:vAlign w:val="center"/>
          </w:tcPr>
          <w:p w14:paraId="1226978F"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1.0</w:t>
            </w:r>
          </w:p>
        </w:tc>
        <w:tc>
          <w:tcPr>
            <w:tcW w:w="1680" w:type="dxa"/>
            <w:vAlign w:val="center"/>
          </w:tcPr>
          <w:p w14:paraId="6D910C2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2.0</w:t>
            </w:r>
          </w:p>
        </w:tc>
        <w:tc>
          <w:tcPr>
            <w:tcW w:w="1680" w:type="dxa"/>
            <w:vAlign w:val="center"/>
          </w:tcPr>
          <w:p w14:paraId="708C581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K</w:t>
            </w:r>
          </w:p>
        </w:tc>
      </w:tr>
      <w:tr w:rsidR="00743546" w:rsidRPr="00F87614" w14:paraId="189BC9E4" w14:textId="77777777">
        <w:trPr>
          <w:jc w:val="center"/>
        </w:trPr>
        <w:tc>
          <w:tcPr>
            <w:tcW w:w="1680" w:type="dxa"/>
            <w:vAlign w:val="center"/>
          </w:tcPr>
          <w:p w14:paraId="1DA81C63"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Relative humidity (RH Max/Min/Mean)</w:t>
            </w:r>
          </w:p>
        </w:tc>
        <w:tc>
          <w:tcPr>
            <w:tcW w:w="1680" w:type="dxa"/>
            <w:vAlign w:val="center"/>
          </w:tcPr>
          <w:p w14:paraId="5555CA0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RMSE</w:t>
            </w:r>
          </w:p>
        </w:tc>
        <w:tc>
          <w:tcPr>
            <w:tcW w:w="1680" w:type="dxa"/>
            <w:vAlign w:val="center"/>
          </w:tcPr>
          <w:p w14:paraId="5734FE2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0.5</w:t>
            </w:r>
          </w:p>
        </w:tc>
        <w:tc>
          <w:tcPr>
            <w:tcW w:w="1680" w:type="dxa"/>
            <w:vAlign w:val="center"/>
          </w:tcPr>
          <w:p w14:paraId="27072F8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2.5</w:t>
            </w:r>
          </w:p>
        </w:tc>
        <w:tc>
          <w:tcPr>
            <w:tcW w:w="1680" w:type="dxa"/>
            <w:vAlign w:val="center"/>
          </w:tcPr>
          <w:p w14:paraId="59B7369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5.0</w:t>
            </w:r>
          </w:p>
        </w:tc>
        <w:tc>
          <w:tcPr>
            <w:tcW w:w="1680" w:type="dxa"/>
            <w:vAlign w:val="center"/>
          </w:tcPr>
          <w:p w14:paraId="64B5416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w:t>
            </w:r>
          </w:p>
        </w:tc>
      </w:tr>
      <w:tr w:rsidR="00743546" w:rsidRPr="00F87614" w14:paraId="22B98B36" w14:textId="77777777">
        <w:trPr>
          <w:jc w:val="center"/>
        </w:trPr>
        <w:tc>
          <w:tcPr>
            <w:tcW w:w="1680" w:type="dxa"/>
            <w:vAlign w:val="center"/>
          </w:tcPr>
          <w:p w14:paraId="2B9CFAC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lastRenderedPageBreak/>
              <w:t>Air pressure (Max/Min/Mean)</w:t>
            </w:r>
          </w:p>
        </w:tc>
        <w:tc>
          <w:tcPr>
            <w:tcW w:w="1680" w:type="dxa"/>
            <w:vAlign w:val="center"/>
          </w:tcPr>
          <w:p w14:paraId="404CB087"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RMSE</w:t>
            </w:r>
          </w:p>
        </w:tc>
        <w:tc>
          <w:tcPr>
            <w:tcW w:w="1680" w:type="dxa"/>
            <w:vAlign w:val="center"/>
          </w:tcPr>
          <w:p w14:paraId="591D12E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0.5</w:t>
            </w:r>
          </w:p>
        </w:tc>
        <w:tc>
          <w:tcPr>
            <w:tcW w:w="1680" w:type="dxa"/>
            <w:vAlign w:val="center"/>
          </w:tcPr>
          <w:p w14:paraId="4B6AAB97"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1.0</w:t>
            </w:r>
          </w:p>
        </w:tc>
        <w:tc>
          <w:tcPr>
            <w:tcW w:w="1680" w:type="dxa"/>
            <w:vAlign w:val="center"/>
          </w:tcPr>
          <w:p w14:paraId="564595DF"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1.0</w:t>
            </w:r>
          </w:p>
        </w:tc>
        <w:tc>
          <w:tcPr>
            <w:tcW w:w="1680" w:type="dxa"/>
            <w:vAlign w:val="center"/>
          </w:tcPr>
          <w:p w14:paraId="469379E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hPa</w:t>
            </w:r>
          </w:p>
        </w:tc>
      </w:tr>
      <w:tr w:rsidR="00743546" w:rsidRPr="00F87614" w14:paraId="0204A48D" w14:textId="77777777">
        <w:trPr>
          <w:jc w:val="center"/>
        </w:trPr>
        <w:tc>
          <w:tcPr>
            <w:tcW w:w="1680" w:type="dxa"/>
            <w:vAlign w:val="center"/>
          </w:tcPr>
          <w:p w14:paraId="431E51B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Accumulated precipitation (RG1/RG2)</w:t>
            </w:r>
          </w:p>
        </w:tc>
        <w:tc>
          <w:tcPr>
            <w:tcW w:w="1680" w:type="dxa"/>
            <w:vAlign w:val="center"/>
          </w:tcPr>
          <w:p w14:paraId="7D327F3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RMSE</w:t>
            </w:r>
          </w:p>
        </w:tc>
        <w:tc>
          <w:tcPr>
            <w:tcW w:w="1680" w:type="dxa"/>
            <w:vAlign w:val="center"/>
          </w:tcPr>
          <w:p w14:paraId="1546A29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0.5</w:t>
            </w:r>
          </w:p>
        </w:tc>
        <w:tc>
          <w:tcPr>
            <w:tcW w:w="1680" w:type="dxa"/>
            <w:vAlign w:val="center"/>
          </w:tcPr>
          <w:p w14:paraId="51D762D3"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2.0</w:t>
            </w:r>
          </w:p>
        </w:tc>
        <w:tc>
          <w:tcPr>
            <w:tcW w:w="1680" w:type="dxa"/>
            <w:vAlign w:val="center"/>
          </w:tcPr>
          <w:p w14:paraId="4EF723C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5.0</w:t>
            </w:r>
          </w:p>
        </w:tc>
        <w:tc>
          <w:tcPr>
            <w:tcW w:w="1680" w:type="dxa"/>
            <w:vAlign w:val="center"/>
          </w:tcPr>
          <w:p w14:paraId="7A253F9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mm</w:t>
            </w:r>
          </w:p>
        </w:tc>
      </w:tr>
    </w:tbl>
    <w:p w14:paraId="072966E7"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Assessment logic follows the configured RMSE limits: RMSE ≤ Goal is classified as Goal; otherwise RMSE ≤ Breakthrough is classified as Breakthrough; otherwise RMSE ≤ Threshold is classified as Threshold; values above the threshold are classified as Below Threshold. Correlation is separately characterized by the toolkit using absolute r: ≥0.90 very strong, ≥0.75 strong, ≥0.50 moderate, ≥0.25 weak, and &lt;0.25 very weak.</w:t>
      </w:r>
    </w:p>
    <w:p w14:paraId="5A5D6FCE"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F.8 Interpretation of the Statistical Measures</w:t>
      </w:r>
    </w:p>
    <w:tbl>
      <w:tblPr>
        <w:tblStyle w:val="TableGrid"/>
        <w:tblW w:w="0" w:type="auto"/>
        <w:jc w:val="center"/>
        <w:tblLook w:val="04A0" w:firstRow="1" w:lastRow="0" w:firstColumn="1" w:lastColumn="0" w:noHBand="0" w:noVBand="1"/>
      </w:tblPr>
      <w:tblGrid>
        <w:gridCol w:w="3360"/>
        <w:gridCol w:w="3360"/>
        <w:gridCol w:w="3360"/>
      </w:tblGrid>
      <w:tr w:rsidR="00743546" w:rsidRPr="00F87614" w14:paraId="35694D7B" w14:textId="77777777">
        <w:trPr>
          <w:jc w:val="center"/>
        </w:trPr>
        <w:tc>
          <w:tcPr>
            <w:tcW w:w="3360" w:type="dxa"/>
            <w:shd w:val="clear" w:color="auto" w:fill="D9E2F3"/>
            <w:vAlign w:val="center"/>
          </w:tcPr>
          <w:p w14:paraId="4D97120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Measure</w:t>
            </w:r>
          </w:p>
        </w:tc>
        <w:tc>
          <w:tcPr>
            <w:tcW w:w="3360" w:type="dxa"/>
            <w:shd w:val="clear" w:color="auto" w:fill="D9E2F3"/>
            <w:vAlign w:val="center"/>
          </w:tcPr>
          <w:p w14:paraId="379BB68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What it indicates</w:t>
            </w:r>
          </w:p>
        </w:tc>
        <w:tc>
          <w:tcPr>
            <w:tcW w:w="3360" w:type="dxa"/>
            <w:shd w:val="clear" w:color="auto" w:fill="D9E2F3"/>
            <w:vAlign w:val="center"/>
          </w:tcPr>
          <w:p w14:paraId="6BB5B83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Preferred direction</w:t>
            </w:r>
          </w:p>
        </w:tc>
      </w:tr>
      <w:tr w:rsidR="00743546" w:rsidRPr="00F87614" w14:paraId="67658297" w14:textId="77777777">
        <w:trPr>
          <w:jc w:val="center"/>
        </w:trPr>
        <w:tc>
          <w:tcPr>
            <w:tcW w:w="3360" w:type="dxa"/>
            <w:vAlign w:val="center"/>
          </w:tcPr>
          <w:p w14:paraId="23CE3B6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Validity (%)</w:t>
            </w:r>
          </w:p>
        </w:tc>
        <w:tc>
          <w:tcPr>
            <w:tcW w:w="3360" w:type="dxa"/>
            <w:vAlign w:val="center"/>
          </w:tcPr>
          <w:p w14:paraId="39C8CDF5"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Proportion of observations passing QC</w:t>
            </w:r>
          </w:p>
        </w:tc>
        <w:tc>
          <w:tcPr>
            <w:tcW w:w="3360" w:type="dxa"/>
            <w:vAlign w:val="center"/>
          </w:tcPr>
          <w:p w14:paraId="6792020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Higher</w:t>
            </w:r>
          </w:p>
        </w:tc>
      </w:tr>
      <w:tr w:rsidR="00743546" w:rsidRPr="00F87614" w14:paraId="1E0E83B5" w14:textId="77777777">
        <w:trPr>
          <w:jc w:val="center"/>
        </w:trPr>
        <w:tc>
          <w:tcPr>
            <w:tcW w:w="3360" w:type="dxa"/>
            <w:vAlign w:val="center"/>
          </w:tcPr>
          <w:p w14:paraId="3C4FBAD7"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Coverage (%)</w:t>
            </w:r>
          </w:p>
        </w:tc>
        <w:tc>
          <w:tcPr>
            <w:tcW w:w="3360" w:type="dxa"/>
            <w:vAlign w:val="center"/>
          </w:tcPr>
          <w:p w14:paraId="59BF97B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Proportion of validation days with paired observations</w:t>
            </w:r>
          </w:p>
        </w:tc>
        <w:tc>
          <w:tcPr>
            <w:tcW w:w="3360" w:type="dxa"/>
            <w:vAlign w:val="center"/>
          </w:tcPr>
          <w:p w14:paraId="262CC1A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Higher</w:t>
            </w:r>
          </w:p>
        </w:tc>
      </w:tr>
      <w:tr w:rsidR="00743546" w:rsidRPr="00F87614" w14:paraId="4B4251C7" w14:textId="77777777">
        <w:trPr>
          <w:jc w:val="center"/>
        </w:trPr>
        <w:tc>
          <w:tcPr>
            <w:tcW w:w="3360" w:type="dxa"/>
            <w:vAlign w:val="center"/>
          </w:tcPr>
          <w:p w14:paraId="2DDF6E47"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Bias</w:t>
            </w:r>
          </w:p>
        </w:tc>
        <w:tc>
          <w:tcPr>
            <w:tcW w:w="3360" w:type="dxa"/>
            <w:vAlign w:val="center"/>
          </w:tcPr>
          <w:p w14:paraId="6F96641F"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Systematic signed difference from KMD</w:t>
            </w:r>
          </w:p>
        </w:tc>
        <w:tc>
          <w:tcPr>
            <w:tcW w:w="3360" w:type="dxa"/>
            <w:vAlign w:val="center"/>
          </w:tcPr>
          <w:p w14:paraId="778BDA4A"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Closer to 0</w:t>
            </w:r>
          </w:p>
        </w:tc>
      </w:tr>
      <w:tr w:rsidR="00743546" w:rsidRPr="00F87614" w14:paraId="7EC7BAA9" w14:textId="77777777">
        <w:trPr>
          <w:jc w:val="center"/>
        </w:trPr>
        <w:tc>
          <w:tcPr>
            <w:tcW w:w="3360" w:type="dxa"/>
            <w:vAlign w:val="center"/>
          </w:tcPr>
          <w:p w14:paraId="4A4813B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MAE</w:t>
            </w:r>
          </w:p>
        </w:tc>
        <w:tc>
          <w:tcPr>
            <w:tcW w:w="3360" w:type="dxa"/>
            <w:vAlign w:val="center"/>
          </w:tcPr>
          <w:p w14:paraId="4A2A0856"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Average absolute magnitude of error</w:t>
            </w:r>
          </w:p>
        </w:tc>
        <w:tc>
          <w:tcPr>
            <w:tcW w:w="3360" w:type="dxa"/>
            <w:vAlign w:val="center"/>
          </w:tcPr>
          <w:p w14:paraId="498E9A7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Lower</w:t>
            </w:r>
          </w:p>
        </w:tc>
      </w:tr>
      <w:tr w:rsidR="00743546" w:rsidRPr="00F87614" w14:paraId="067982C7" w14:textId="77777777">
        <w:trPr>
          <w:jc w:val="center"/>
        </w:trPr>
        <w:tc>
          <w:tcPr>
            <w:tcW w:w="3360" w:type="dxa"/>
            <w:vAlign w:val="center"/>
          </w:tcPr>
          <w:p w14:paraId="4F50EEE3"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RMSE</w:t>
            </w:r>
          </w:p>
        </w:tc>
        <w:tc>
          <w:tcPr>
            <w:tcW w:w="3360" w:type="dxa"/>
            <w:vAlign w:val="center"/>
          </w:tcPr>
          <w:p w14:paraId="6EE9604A"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Overall error magnitude; emphasizes larger errors</w:t>
            </w:r>
          </w:p>
        </w:tc>
        <w:tc>
          <w:tcPr>
            <w:tcW w:w="3360" w:type="dxa"/>
            <w:vAlign w:val="center"/>
          </w:tcPr>
          <w:p w14:paraId="0A1FF15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Lower</w:t>
            </w:r>
          </w:p>
        </w:tc>
      </w:tr>
      <w:tr w:rsidR="00743546" w:rsidRPr="00F87614" w14:paraId="03DE4B30" w14:textId="77777777">
        <w:trPr>
          <w:jc w:val="center"/>
        </w:trPr>
        <w:tc>
          <w:tcPr>
            <w:tcW w:w="3360" w:type="dxa"/>
            <w:vAlign w:val="center"/>
          </w:tcPr>
          <w:p w14:paraId="7E9AB14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w:t>
            </w:r>
          </w:p>
        </w:tc>
        <w:tc>
          <w:tcPr>
            <w:tcW w:w="3360" w:type="dxa"/>
            <w:vAlign w:val="center"/>
          </w:tcPr>
          <w:p w14:paraId="0F90F33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Linear agreement / co-variation</w:t>
            </w:r>
          </w:p>
        </w:tc>
        <w:tc>
          <w:tcPr>
            <w:tcW w:w="3360" w:type="dxa"/>
            <w:vAlign w:val="center"/>
          </w:tcPr>
          <w:p w14:paraId="46CEBABA"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Closer to +1 for positive agreement</w:t>
            </w:r>
          </w:p>
        </w:tc>
      </w:tr>
      <w:tr w:rsidR="00743546" w:rsidRPr="00F87614" w14:paraId="1EE4AF50" w14:textId="77777777">
        <w:trPr>
          <w:jc w:val="center"/>
        </w:trPr>
        <w:tc>
          <w:tcPr>
            <w:tcW w:w="3360" w:type="dxa"/>
            <w:vAlign w:val="center"/>
          </w:tcPr>
          <w:p w14:paraId="01F72D35"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R²</w:t>
            </w:r>
          </w:p>
        </w:tc>
        <w:tc>
          <w:tcPr>
            <w:tcW w:w="3360" w:type="dxa"/>
            <w:vAlign w:val="center"/>
          </w:tcPr>
          <w:p w14:paraId="028E09A6"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Squared Pearson correlation</w:t>
            </w:r>
          </w:p>
        </w:tc>
        <w:tc>
          <w:tcPr>
            <w:tcW w:w="3360" w:type="dxa"/>
            <w:vAlign w:val="center"/>
          </w:tcPr>
          <w:p w14:paraId="1E14CC0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Higher, toward 1</w:t>
            </w:r>
          </w:p>
        </w:tc>
      </w:tr>
    </w:tbl>
    <w:p w14:paraId="462662C9"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F.9 Statistical Interpretation and Limitations</w:t>
      </w:r>
    </w:p>
    <w:p w14:paraId="49A880E0"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No single statistic is sufficient to establish sensor performance. Correlation describes co-variation but does not quantify systematic offset; bias describes systematic offset but may conceal opposing errors; MAE describes average absolute error; and RMSE gives greater weight to large discrepancies. Consequently, Chapter Seven interprets these statistics together with data validity, paired-observation coverage, time-series plots and scatter diagrams.</w:t>
      </w:r>
    </w:p>
    <w:p w14:paraId="6064F2A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The statistics are also dependent on the availability and temporal overlap of the 3D-PAWS and KMD datasets. Stations therefore have different numbers of paired observations and, in some cases, different numbers of assessed parameters. The results should be interpreted as evidence from the available common periods rather than as identical-duration experiments across all stations.</w:t>
      </w:r>
    </w:p>
    <w:p w14:paraId="1BBD01DA"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t>F.10 Reproducibility</w:t>
      </w:r>
    </w:p>
    <w:p w14:paraId="3CFCC93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The calculations are implemented in the 3D-PAWS Validation Toolkit. Station-level processing produces station-specific statistics files containing paired observations, coverage, bias, MAE, RMSE, correlation and R² where calculable. The station statistics are subsequently aggregated for the network analysis used in Chapter Seven. Appendix J documents the software workflow and execution sequence.</w:t>
      </w:r>
    </w:p>
    <w:p w14:paraId="48C0CFBF" w14:textId="77777777" w:rsidR="00743546" w:rsidRPr="00F87614" w:rsidRDefault="0012794D" w:rsidP="00BB6D53">
      <w:pPr>
        <w:pStyle w:val="Heading1"/>
        <w:jc w:val="both"/>
        <w:rPr>
          <w:rFonts w:ascii="Times New Roman" w:hAnsi="Times New Roman" w:cs="Times New Roman"/>
          <w:sz w:val="24"/>
          <w:szCs w:val="24"/>
        </w:rPr>
      </w:pPr>
      <w:r w:rsidRPr="00F87614">
        <w:rPr>
          <w:rFonts w:ascii="Times New Roman" w:hAnsi="Times New Roman" w:cs="Times New Roman"/>
          <w:sz w:val="24"/>
          <w:szCs w:val="24"/>
        </w:rPr>
        <w:lastRenderedPageBreak/>
        <w:t>F.11 Formula Summary</w:t>
      </w:r>
    </w:p>
    <w:tbl>
      <w:tblPr>
        <w:tblStyle w:val="TableGrid"/>
        <w:tblW w:w="0" w:type="auto"/>
        <w:jc w:val="center"/>
        <w:tblLook w:val="04A0" w:firstRow="1" w:lastRow="0" w:firstColumn="1" w:lastColumn="0" w:noHBand="0" w:noVBand="1"/>
      </w:tblPr>
      <w:tblGrid>
        <w:gridCol w:w="3360"/>
        <w:gridCol w:w="3360"/>
        <w:gridCol w:w="3360"/>
      </w:tblGrid>
      <w:tr w:rsidR="00743546" w:rsidRPr="00F87614" w14:paraId="585D514E" w14:textId="77777777">
        <w:trPr>
          <w:jc w:val="center"/>
        </w:trPr>
        <w:tc>
          <w:tcPr>
            <w:tcW w:w="3360" w:type="dxa"/>
            <w:shd w:val="clear" w:color="auto" w:fill="D9E2F3"/>
            <w:vAlign w:val="center"/>
          </w:tcPr>
          <w:p w14:paraId="27EEC122"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Statistic</w:t>
            </w:r>
          </w:p>
        </w:tc>
        <w:tc>
          <w:tcPr>
            <w:tcW w:w="3360" w:type="dxa"/>
            <w:shd w:val="clear" w:color="auto" w:fill="D9E2F3"/>
            <w:vAlign w:val="center"/>
          </w:tcPr>
          <w:p w14:paraId="0D73FAAA"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Formula</w:t>
            </w:r>
          </w:p>
        </w:tc>
        <w:tc>
          <w:tcPr>
            <w:tcW w:w="3360" w:type="dxa"/>
            <w:shd w:val="clear" w:color="auto" w:fill="D9E2F3"/>
            <w:vAlign w:val="center"/>
          </w:tcPr>
          <w:p w14:paraId="3563FFE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Interpretation</w:t>
            </w:r>
          </w:p>
        </w:tc>
      </w:tr>
      <w:tr w:rsidR="00743546" w:rsidRPr="00F87614" w14:paraId="7CBFA9B5" w14:textId="77777777">
        <w:trPr>
          <w:jc w:val="center"/>
        </w:trPr>
        <w:tc>
          <w:tcPr>
            <w:tcW w:w="3360" w:type="dxa"/>
            <w:vAlign w:val="center"/>
          </w:tcPr>
          <w:p w14:paraId="0F04F80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Validity</w:t>
            </w:r>
          </w:p>
        </w:tc>
        <w:tc>
          <w:tcPr>
            <w:tcW w:w="3360" w:type="dxa"/>
            <w:vAlign w:val="center"/>
          </w:tcPr>
          <w:p w14:paraId="4CAAE99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Valid / Total × 100</w:t>
            </w:r>
          </w:p>
        </w:tc>
        <w:tc>
          <w:tcPr>
            <w:tcW w:w="3360" w:type="dxa"/>
            <w:vAlign w:val="center"/>
          </w:tcPr>
          <w:p w14:paraId="53D0650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Percentage of observations passing QC</w:t>
            </w:r>
          </w:p>
        </w:tc>
      </w:tr>
      <w:tr w:rsidR="00743546" w:rsidRPr="00F87614" w14:paraId="7F58992E" w14:textId="77777777">
        <w:trPr>
          <w:jc w:val="center"/>
        </w:trPr>
        <w:tc>
          <w:tcPr>
            <w:tcW w:w="3360" w:type="dxa"/>
            <w:vAlign w:val="center"/>
          </w:tcPr>
          <w:p w14:paraId="5FDE767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Coverage</w:t>
            </w:r>
          </w:p>
        </w:tc>
        <w:tc>
          <w:tcPr>
            <w:tcW w:w="3360" w:type="dxa"/>
            <w:vAlign w:val="center"/>
          </w:tcPr>
          <w:p w14:paraId="7474B5C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Paired / (Paired + Missing) × 100</w:t>
            </w:r>
          </w:p>
        </w:tc>
        <w:tc>
          <w:tcPr>
            <w:tcW w:w="3360" w:type="dxa"/>
            <w:vAlign w:val="center"/>
          </w:tcPr>
          <w:p w14:paraId="3C6EBD15"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Percentage of validation days represented by paired data</w:t>
            </w:r>
          </w:p>
        </w:tc>
      </w:tr>
      <w:tr w:rsidR="00743546" w:rsidRPr="00F87614" w14:paraId="62DF5552" w14:textId="77777777">
        <w:trPr>
          <w:jc w:val="center"/>
        </w:trPr>
        <w:tc>
          <w:tcPr>
            <w:tcW w:w="3360" w:type="dxa"/>
            <w:vAlign w:val="center"/>
          </w:tcPr>
          <w:p w14:paraId="04F96FA7"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Error</w:t>
            </w:r>
          </w:p>
        </w:tc>
        <w:tc>
          <w:tcPr>
            <w:tcW w:w="3360" w:type="dxa"/>
            <w:vAlign w:val="center"/>
          </w:tcPr>
          <w:p w14:paraId="703D098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eᵢ = Pᵢ − Kᵢ</w:t>
            </w:r>
          </w:p>
        </w:tc>
        <w:tc>
          <w:tcPr>
            <w:tcW w:w="3360" w:type="dxa"/>
            <w:vAlign w:val="center"/>
          </w:tcPr>
          <w:p w14:paraId="70A41C51"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Signed 3D-PAWS minus KMD difference</w:t>
            </w:r>
          </w:p>
        </w:tc>
      </w:tr>
      <w:tr w:rsidR="00743546" w:rsidRPr="00F87614" w14:paraId="095A5864" w14:textId="77777777">
        <w:trPr>
          <w:jc w:val="center"/>
        </w:trPr>
        <w:tc>
          <w:tcPr>
            <w:tcW w:w="3360" w:type="dxa"/>
            <w:vAlign w:val="center"/>
          </w:tcPr>
          <w:p w14:paraId="2CD91B6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Bias</w:t>
            </w:r>
          </w:p>
        </w:tc>
        <w:tc>
          <w:tcPr>
            <w:tcW w:w="3360" w:type="dxa"/>
            <w:vAlign w:val="center"/>
          </w:tcPr>
          <w:p w14:paraId="1FFD3ED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Σeᵢ / n</w:t>
            </w:r>
          </w:p>
        </w:tc>
        <w:tc>
          <w:tcPr>
            <w:tcW w:w="3360" w:type="dxa"/>
            <w:vAlign w:val="center"/>
          </w:tcPr>
          <w:p w14:paraId="5160CB0B"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Mean signed error</w:t>
            </w:r>
          </w:p>
        </w:tc>
      </w:tr>
      <w:tr w:rsidR="00743546" w:rsidRPr="00F87614" w14:paraId="3C48963D" w14:textId="77777777">
        <w:trPr>
          <w:jc w:val="center"/>
        </w:trPr>
        <w:tc>
          <w:tcPr>
            <w:tcW w:w="3360" w:type="dxa"/>
            <w:vAlign w:val="center"/>
          </w:tcPr>
          <w:p w14:paraId="69FD9D50"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MAE</w:t>
            </w:r>
          </w:p>
        </w:tc>
        <w:tc>
          <w:tcPr>
            <w:tcW w:w="3360" w:type="dxa"/>
            <w:vAlign w:val="center"/>
          </w:tcPr>
          <w:p w14:paraId="4188ED9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Σ|eᵢ| / n</w:t>
            </w:r>
          </w:p>
        </w:tc>
        <w:tc>
          <w:tcPr>
            <w:tcW w:w="3360" w:type="dxa"/>
            <w:vAlign w:val="center"/>
          </w:tcPr>
          <w:p w14:paraId="3D107AE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Mean absolute error</w:t>
            </w:r>
          </w:p>
        </w:tc>
      </w:tr>
      <w:tr w:rsidR="00743546" w:rsidRPr="00F87614" w14:paraId="2AF4F212" w14:textId="77777777">
        <w:trPr>
          <w:jc w:val="center"/>
        </w:trPr>
        <w:tc>
          <w:tcPr>
            <w:tcW w:w="3360" w:type="dxa"/>
            <w:vAlign w:val="center"/>
          </w:tcPr>
          <w:p w14:paraId="47B8683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RMSE</w:t>
            </w:r>
          </w:p>
        </w:tc>
        <w:tc>
          <w:tcPr>
            <w:tcW w:w="3360" w:type="dxa"/>
            <w:vAlign w:val="center"/>
          </w:tcPr>
          <w:p w14:paraId="0882FFD1" w14:textId="77777777" w:rsidR="00743546" w:rsidRPr="00F87614" w:rsidRDefault="0012794D" w:rsidP="00BB6D53">
            <w:pPr>
              <w:jc w:val="both"/>
              <w:rPr>
                <w:rFonts w:ascii="Times New Roman" w:hAnsi="Times New Roman" w:cs="Times New Roman"/>
                <w:sz w:val="24"/>
                <w:szCs w:val="24"/>
              </w:rPr>
            </w:pPr>
            <w:proofErr w:type="gramStart"/>
            <w:r w:rsidRPr="00F87614">
              <w:rPr>
                <w:rFonts w:ascii="Times New Roman" w:hAnsi="Times New Roman" w:cs="Times New Roman"/>
                <w:sz w:val="24"/>
                <w:szCs w:val="24"/>
              </w:rPr>
              <w:t>√[</w:t>
            </w:r>
            <w:proofErr w:type="gramEnd"/>
            <w:r w:rsidRPr="00F87614">
              <w:rPr>
                <w:rFonts w:ascii="Times New Roman" w:hAnsi="Times New Roman" w:cs="Times New Roman"/>
                <w:sz w:val="24"/>
                <w:szCs w:val="24"/>
              </w:rPr>
              <w:t>Σeᵢ² / n]</w:t>
            </w:r>
          </w:p>
        </w:tc>
        <w:tc>
          <w:tcPr>
            <w:tcW w:w="3360" w:type="dxa"/>
            <w:vAlign w:val="center"/>
          </w:tcPr>
          <w:p w14:paraId="249CB5BE"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Root mean square error</w:t>
            </w:r>
          </w:p>
        </w:tc>
      </w:tr>
      <w:tr w:rsidR="00743546" w:rsidRPr="00F87614" w14:paraId="422C05B5" w14:textId="77777777">
        <w:trPr>
          <w:jc w:val="center"/>
        </w:trPr>
        <w:tc>
          <w:tcPr>
            <w:tcW w:w="3360" w:type="dxa"/>
            <w:vAlign w:val="center"/>
          </w:tcPr>
          <w:p w14:paraId="11F7714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Pearson r</w:t>
            </w:r>
          </w:p>
        </w:tc>
        <w:tc>
          <w:tcPr>
            <w:tcW w:w="3360" w:type="dxa"/>
            <w:vAlign w:val="center"/>
          </w:tcPr>
          <w:p w14:paraId="5CC1C1B4"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Σ[(Pᵢ−</w:t>
            </w:r>
            <w:proofErr w:type="gramStart"/>
            <w:r w:rsidRPr="00F87614">
              <w:rPr>
                <w:rFonts w:ascii="Times New Roman" w:hAnsi="Times New Roman" w:cs="Times New Roman"/>
                <w:sz w:val="24"/>
                <w:szCs w:val="24"/>
              </w:rPr>
              <w:t>P̄)(</w:t>
            </w:r>
            <w:proofErr w:type="gramEnd"/>
            <w:r w:rsidRPr="00F87614">
              <w:rPr>
                <w:rFonts w:ascii="Times New Roman" w:hAnsi="Times New Roman" w:cs="Times New Roman"/>
                <w:sz w:val="24"/>
                <w:szCs w:val="24"/>
              </w:rPr>
              <w:t>Kᵢ−K̄)] / √[Σ(Pᵢ−P̄)²Σ(Kᵢ−K̄)²]</w:t>
            </w:r>
          </w:p>
        </w:tc>
        <w:tc>
          <w:tcPr>
            <w:tcW w:w="3360" w:type="dxa"/>
            <w:vAlign w:val="center"/>
          </w:tcPr>
          <w:p w14:paraId="1030FB79"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Linear association</w:t>
            </w:r>
          </w:p>
        </w:tc>
      </w:tr>
      <w:tr w:rsidR="00743546" w:rsidRPr="00F87614" w14:paraId="7A1AE397" w14:textId="77777777">
        <w:trPr>
          <w:jc w:val="center"/>
        </w:trPr>
        <w:tc>
          <w:tcPr>
            <w:tcW w:w="3360" w:type="dxa"/>
            <w:vAlign w:val="center"/>
          </w:tcPr>
          <w:p w14:paraId="2DE3C5CD"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R²</w:t>
            </w:r>
          </w:p>
        </w:tc>
        <w:tc>
          <w:tcPr>
            <w:tcW w:w="3360" w:type="dxa"/>
            <w:vAlign w:val="center"/>
          </w:tcPr>
          <w:p w14:paraId="1628032C"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r²</w:t>
            </w:r>
          </w:p>
        </w:tc>
        <w:tc>
          <w:tcPr>
            <w:tcW w:w="3360" w:type="dxa"/>
            <w:vAlign w:val="center"/>
          </w:tcPr>
          <w:p w14:paraId="180E5D38" w14:textId="77777777" w:rsidR="00743546"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sz w:val="24"/>
                <w:szCs w:val="24"/>
              </w:rPr>
              <w:t>Squared correlation / explained linear variance</w:t>
            </w:r>
          </w:p>
        </w:tc>
      </w:tr>
    </w:tbl>
    <w:p w14:paraId="749A052C" w14:textId="77777777" w:rsidR="00743546" w:rsidRPr="00F87614" w:rsidRDefault="00743546" w:rsidP="00BB6D53">
      <w:pPr>
        <w:jc w:val="both"/>
        <w:rPr>
          <w:rFonts w:ascii="Times New Roman" w:hAnsi="Times New Roman" w:cs="Times New Roman"/>
          <w:sz w:val="24"/>
          <w:szCs w:val="24"/>
        </w:rPr>
      </w:pPr>
    </w:p>
    <w:p w14:paraId="4776A5FF" w14:textId="64D7A7E7" w:rsidR="008B5E54" w:rsidRPr="00F87614" w:rsidRDefault="0012794D" w:rsidP="00BB6D53">
      <w:pPr>
        <w:jc w:val="both"/>
        <w:rPr>
          <w:rFonts w:ascii="Times New Roman" w:hAnsi="Times New Roman" w:cs="Times New Roman"/>
          <w:sz w:val="24"/>
          <w:szCs w:val="24"/>
        </w:rPr>
      </w:pPr>
      <w:r w:rsidRPr="00F87614">
        <w:rPr>
          <w:rFonts w:ascii="Times New Roman" w:hAnsi="Times New Roman" w:cs="Times New Roman"/>
          <w:b/>
          <w:sz w:val="24"/>
          <w:szCs w:val="24"/>
        </w:rPr>
        <w:t xml:space="preserve">Source note: </w:t>
      </w:r>
      <w:r w:rsidRPr="00F87614">
        <w:rPr>
          <w:rFonts w:ascii="Times New Roman" w:hAnsi="Times New Roman" w:cs="Times New Roman"/>
          <w:sz w:val="24"/>
          <w:szCs w:val="24"/>
        </w:rPr>
        <w:t>The equations and assessment rules in this appendix reflect the implemented 3D-PAWS Validation Toolkit used to generate the station-level and network-level results in this study. WMO criterion values are the configured values used by the toolkit's performance-assessment module.</w:t>
      </w:r>
    </w:p>
    <w:p w14:paraId="16FA8B0B" w14:textId="77777777" w:rsidR="008B5E54" w:rsidRPr="00F87614" w:rsidRDefault="008B5E54" w:rsidP="00BB6D53">
      <w:pPr>
        <w:jc w:val="both"/>
        <w:rPr>
          <w:rFonts w:ascii="Times New Roman" w:hAnsi="Times New Roman" w:cs="Times New Roman"/>
          <w:sz w:val="24"/>
          <w:szCs w:val="24"/>
        </w:rPr>
      </w:pPr>
    </w:p>
    <w:p w14:paraId="492F0823" w14:textId="77777777" w:rsidR="008B5E54" w:rsidRPr="00F87614" w:rsidRDefault="008B5E54" w:rsidP="00BB6D53">
      <w:pPr>
        <w:jc w:val="both"/>
        <w:rPr>
          <w:rFonts w:ascii="Times New Roman" w:hAnsi="Times New Roman" w:cs="Times New Roman"/>
          <w:sz w:val="24"/>
          <w:szCs w:val="24"/>
        </w:rPr>
      </w:pPr>
    </w:p>
    <w:p w14:paraId="6B5AEB05" w14:textId="77777777" w:rsidR="008B5E54" w:rsidRPr="00F87614" w:rsidRDefault="008B5E54" w:rsidP="00BB6D53">
      <w:pPr>
        <w:jc w:val="both"/>
        <w:rPr>
          <w:rFonts w:ascii="Times New Roman" w:hAnsi="Times New Roman" w:cs="Times New Roman"/>
          <w:sz w:val="24"/>
          <w:szCs w:val="24"/>
        </w:rPr>
      </w:pPr>
    </w:p>
    <w:sectPr w:rsidR="008B5E54" w:rsidRPr="00F87614" w:rsidSect="00BB6D53">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F2C3E" w14:textId="77777777" w:rsidR="007C4A01" w:rsidRDefault="007C4A01">
      <w:pPr>
        <w:spacing w:after="0" w:line="240" w:lineRule="auto"/>
      </w:pPr>
      <w:r>
        <w:separator/>
      </w:r>
    </w:p>
  </w:endnote>
  <w:endnote w:type="continuationSeparator" w:id="0">
    <w:p w14:paraId="080DD361" w14:textId="77777777" w:rsidR="007C4A01" w:rsidRDefault="007C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7F7E4" w14:textId="224DE299" w:rsidR="00743546" w:rsidRDefault="0012794D">
    <w:pPr>
      <w:pStyle w:val="Footer"/>
      <w:jc w:val="center"/>
    </w:pPr>
    <w:r>
      <w:rPr>
        <w:sz w:val="16"/>
      </w:rPr>
      <w:t xml:space="preserve">Appendix F – Statistical Validation Methodology and Formulas | Page </w:t>
    </w:r>
    <w:r>
      <w:fldChar w:fldCharType="begin"/>
    </w:r>
    <w:r>
      <w:instrText>PAGE</w:instrText>
    </w:r>
    <w:r>
      <w:fldChar w:fldCharType="separate"/>
    </w:r>
    <w:r w:rsidR="008B5E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8953B" w14:textId="77777777" w:rsidR="007C4A01" w:rsidRDefault="007C4A01">
      <w:pPr>
        <w:spacing w:after="0" w:line="240" w:lineRule="auto"/>
      </w:pPr>
      <w:r>
        <w:separator/>
      </w:r>
    </w:p>
  </w:footnote>
  <w:footnote w:type="continuationSeparator" w:id="0">
    <w:p w14:paraId="05D755BE" w14:textId="77777777" w:rsidR="007C4A01" w:rsidRDefault="007C4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94D"/>
    <w:rsid w:val="0015074B"/>
    <w:rsid w:val="0029639D"/>
    <w:rsid w:val="00326F90"/>
    <w:rsid w:val="003D320C"/>
    <w:rsid w:val="006801BC"/>
    <w:rsid w:val="00743546"/>
    <w:rsid w:val="007C4A01"/>
    <w:rsid w:val="00851C6E"/>
    <w:rsid w:val="008A68DE"/>
    <w:rsid w:val="008B5E54"/>
    <w:rsid w:val="00A11AE2"/>
    <w:rsid w:val="00AA1D8D"/>
    <w:rsid w:val="00B47730"/>
    <w:rsid w:val="00BB6D53"/>
    <w:rsid w:val="00CB0664"/>
    <w:rsid w:val="00F876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2ACC7F-2819-4D7B-AE26-EB835F81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2360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1480</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Kuria</cp:lastModifiedBy>
  <cp:revision>9</cp:revision>
  <dcterms:created xsi:type="dcterms:W3CDTF">2013-12-23T23:15:00Z</dcterms:created>
  <dcterms:modified xsi:type="dcterms:W3CDTF">2026-08-29T06:05:00Z</dcterms:modified>
  <cp:category/>
</cp:coreProperties>
</file>