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b/>
          <w:bCs/>
          <w:color w:val="0E7A54"/>
          <w:spacing w:val="40"/>
          <w:sz w:val="22"/>
          <w:szCs w:val="22"/>
        </w:rPr>
        <w:t xml:space="preserve">CAHIER DES CHARGES</w:t>
      </w:r>
    </w:p>
    <w:p>
      <w:pPr>
        <w:spacing w:after="80" w:before="120"/>
      </w:pPr>
      <w:r>
        <w:rPr>
          <w:b/>
          <w:bCs/>
          <w:color w:val="1D1D1B"/>
          <w:sz w:val="52"/>
          <w:szCs w:val="52"/>
        </w:rPr>
        <w:t xml:space="preserve">Widget « Tableau de bord » pour Grist</w:t>
      </w:r>
    </w:p>
    <w:p>
      <w:pPr>
        <w:spacing w:after="240"/>
      </w:pPr>
      <w:r>
        <w:rPr>
          <w:color w:val="5C5B57"/>
          <w:sz w:val="26"/>
          <w:szCs w:val="26"/>
        </w:rPr>
        <w:t xml:space="preserve">Visualisations de données reposant sur Apache ECharts — benchmark, spécifications fonctionnelles, design et lotissement</w:t>
      </w:r>
    </w:p>
    <w:p>
      <w:pPr>
        <w:pBdr>
          <w:bottom w:val="single" w:color="16B378" w:sz="12" w:space="1"/>
        </w:pBdr>
        <w:spacing w:after="240"/>
      </w:pPr>
    </w:p>
    <w:p>
      <w:pPr>
        <w:spacing w:after="80"/>
        <w:jc w:val="center"/>
      </w:pPr>
      <w:r>
        <w:drawing>
          <wp:inline distT="0" distB="0" distL="0" distR="0">
            <wp:extent cx="6096000" cy="4629150"/>
            <wp:effectExtent t="0" r="0" b="0" l="0"/>
            <wp:docPr id="1" name="cover" descr="cover" title="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i/>
          <w:iCs/>
          <w:color w:val="5C5B57"/>
          <w:sz w:val="17"/>
          <w:szCs w:val="17"/>
        </w:rPr>
        <w:t xml:space="preserve">Maquette fonctionnelle du widget, exécutée dans grist-core sur un document de démonstration (données réelles du document).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5"/>
        <w:gridCol w:w="2008"/>
        <w:gridCol w:w="2410"/>
        <w:gridCol w:w="4015"/>
      </w:tblGrid>
      <w:tr>
        <w:trPr>
          <w:tblHeader/>
        </w:trPr>
        <w:tc>
          <w:tcPr>
            <w:tcW w:type="dxa" w:w="1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8"/>
                <w:szCs w:val="18"/>
              </w:rPr>
              <w:t xml:space="preserve">Version</w:t>
            </w:r>
          </w:p>
        </w:tc>
        <w:tc>
          <w:tcPr>
            <w:tcW w:type="dxa" w:w="200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8"/>
                <w:szCs w:val="18"/>
              </w:rPr>
              <w:t xml:space="preserve">Date</w:t>
            </w:r>
          </w:p>
        </w:tc>
        <w:tc>
          <w:tcPr>
            <w:tcW w:type="dxa" w:w="241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8"/>
                <w:szCs w:val="18"/>
              </w:rPr>
              <w:t xml:space="preserve">Statut</w:t>
            </w:r>
          </w:p>
        </w:tc>
        <w:tc>
          <w:tcPr>
            <w:tcW w:type="dxa" w:w="401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8"/>
                <w:szCs w:val="18"/>
              </w:rPr>
              <w:t xml:space="preserve">Périmètre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8"/>
                <w:szCs w:val="18"/>
              </w:rPr>
              <w:t xml:space="preserve">1.0</w:t>
            </w:r>
          </w:p>
        </w:tc>
        <w:tc>
          <w:tcPr>
            <w:tcW w:type="dxa" w:w="200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8"/>
                <w:szCs w:val="18"/>
              </w:rPr>
              <w:t xml:space="preserve">19 octobre 2026</w:t>
            </w:r>
          </w:p>
        </w:tc>
        <w:tc>
          <w:tcPr>
            <w:tcW w:type="dxa" w:w="241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8"/>
                <w:szCs w:val="18"/>
              </w:rPr>
              <w:t xml:space="preserve">Proposition à valider</w:t>
            </w:r>
          </w:p>
        </w:tc>
        <w:tc>
          <w:tcPr>
            <w:tcW w:type="dxa" w:w="401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8"/>
                <w:szCs w:val="18"/>
              </w:rPr>
              <w:t xml:space="preserve">Widget personnalisé Grist (grist-core / SaaS), lecture &amp; édition de tableaux de bord</w:t>
            </w:r>
          </w:p>
        </w:tc>
      </w:tr>
    </w:tbl>
    <w:p>
      <w:pPr>
        <w:spacing w:after="120"/>
      </w:pPr>
    </w:p>
    <w:p>
      <w:pPr>
        <w:pageBreakBefore/>
        <w:spacing w:after="200"/>
      </w:pPr>
      <w:r>
        <w:rPr>
          <w:b/>
          <w:bCs/>
          <w:color w:val="1D1D1B"/>
          <w:sz w:val="32"/>
          <w:szCs w:val="32"/>
        </w:rPr>
        <w:t xml:space="preserve">Sommaire</w:t>
      </w:r>
    </w:p>
    <w:p>
      <w:pPr>
        <w:tabs>
          <w:tab w:val="right" w:pos="9638" w:leader="dot"/>
        </w:tabs>
        <w:spacing w:after="30" w:before="140"/>
        <w:ind w:left="0"/>
      </w:pPr>
      <w:r>
        <w:rPr>
          <w:b/>
          <w:bCs/>
          <w:color w:val="1D1D1B"/>
          <w:sz w:val="21"/>
          <w:szCs w:val="21"/>
        </w:rPr>
        <w:t xml:space="preserve">1. Contexte et objectifs</w:t>
      </w:r>
      <w:r>
        <w:rPr>
          <w:b/>
          <w:bCs/>
          <w:color w:val="1D1D1B"/>
          <w:sz w:val="21"/>
          <w:szCs w:val="21"/>
        </w:rPr>
        <w:t xml:space="preserve">	3</w:t>
      </w:r>
    </w:p>
    <w:p>
      <w:pPr>
        <w:tabs>
          <w:tab w:val="right" w:pos="9638" w:leader="dot"/>
        </w:tabs>
        <w:spacing w:after="30" w:before="30"/>
        <w:ind w:left="360"/>
      </w:pPr>
      <w:r>
        <w:rPr>
          <w:b w:val="false"/>
          <w:bCs w:val="false"/>
          <w:color w:val="5C5B57"/>
          <w:sz w:val="19"/>
          <w:szCs w:val="19"/>
        </w:rPr>
        <w:t xml:space="preserve">1.1 Contexte</w:t>
      </w:r>
      <w:r>
        <w:rPr>
          <w:b w:val="false"/>
          <w:bCs w:val="false"/>
          <w:color w:val="5C5B57"/>
          <w:sz w:val="19"/>
          <w:szCs w:val="19"/>
        </w:rPr>
        <w:t xml:space="preserve">	3</w:t>
      </w:r>
    </w:p>
    <w:p>
      <w:pPr>
        <w:tabs>
          <w:tab w:val="right" w:pos="9638" w:leader="dot"/>
        </w:tabs>
        <w:spacing w:after="30" w:before="30"/>
        <w:ind w:left="360"/>
      </w:pPr>
      <w:r>
        <w:rPr>
          <w:b w:val="false"/>
          <w:bCs w:val="false"/>
          <w:color w:val="5C5B57"/>
          <w:sz w:val="19"/>
          <w:szCs w:val="19"/>
        </w:rPr>
        <w:t xml:space="preserve">1.2 Objectifs</w:t>
      </w:r>
      <w:r>
        <w:rPr>
          <w:b w:val="false"/>
          <w:bCs w:val="false"/>
          <w:color w:val="5C5B57"/>
          <w:sz w:val="19"/>
          <w:szCs w:val="19"/>
        </w:rPr>
        <w:t xml:space="preserve">	3</w:t>
      </w:r>
    </w:p>
    <w:p>
      <w:pPr>
        <w:tabs>
          <w:tab w:val="right" w:pos="9638" w:leader="dot"/>
        </w:tabs>
        <w:spacing w:after="30" w:before="30"/>
        <w:ind w:left="360"/>
      </w:pPr>
      <w:r>
        <w:rPr>
          <w:b w:val="false"/>
          <w:bCs w:val="false"/>
          <w:color w:val="5C5B57"/>
          <w:sz w:val="19"/>
          <w:szCs w:val="19"/>
        </w:rPr>
        <w:t xml:space="preserve">1.3 Périmètre</w:t>
      </w:r>
      <w:r>
        <w:rPr>
          <w:b w:val="false"/>
          <w:bCs w:val="false"/>
          <w:color w:val="5C5B57"/>
          <w:sz w:val="19"/>
          <w:szCs w:val="19"/>
        </w:rPr>
        <w:t xml:space="preserve">	3</w:t>
      </w:r>
    </w:p>
    <w:p>
      <w:pPr>
        <w:tabs>
          <w:tab w:val="right" w:pos="9638" w:leader="dot"/>
        </w:tabs>
        <w:spacing w:after="30" w:before="30"/>
        <w:ind w:left="360"/>
      </w:pPr>
      <w:r>
        <w:rPr>
          <w:b w:val="false"/>
          <w:bCs w:val="false"/>
          <w:color w:val="5C5B57"/>
          <w:sz w:val="19"/>
          <w:szCs w:val="19"/>
        </w:rPr>
        <w:t xml:space="preserve">1.4 Utilisateurs cibles</w:t>
      </w:r>
      <w:r>
        <w:rPr>
          <w:b w:val="false"/>
          <w:bCs w:val="false"/>
          <w:color w:val="5C5B57"/>
          <w:sz w:val="19"/>
          <w:szCs w:val="19"/>
        </w:rPr>
        <w:t xml:space="preserve">	3</w:t>
      </w:r>
    </w:p>
    <w:p>
      <w:pPr>
        <w:tabs>
          <w:tab w:val="right" w:pos="9638" w:leader="dot"/>
        </w:tabs>
        <w:spacing w:after="30" w:before="140"/>
        <w:ind w:left="0"/>
      </w:pPr>
      <w:r>
        <w:rPr>
          <w:b/>
          <w:bCs/>
          <w:color w:val="1D1D1B"/>
          <w:sz w:val="21"/>
          <w:szCs w:val="21"/>
        </w:rPr>
        <w:t xml:space="preserve">2. État des lieux : la visualisation dans Grist aujourd’hui</w:t>
      </w:r>
      <w:r>
        <w:rPr>
          <w:b/>
          <w:bCs/>
          <w:color w:val="1D1D1B"/>
          <w:sz w:val="21"/>
          <w:szCs w:val="21"/>
        </w:rPr>
        <w:t xml:space="preserve">	4</w:t>
      </w:r>
    </w:p>
    <w:p>
      <w:pPr>
        <w:tabs>
          <w:tab w:val="right" w:pos="9638" w:leader="dot"/>
        </w:tabs>
        <w:spacing w:after="30" w:before="30"/>
        <w:ind w:left="360"/>
      </w:pPr>
      <w:r>
        <w:rPr>
          <w:b w:val="false"/>
          <w:bCs w:val="false"/>
          <w:color w:val="5C5B57"/>
          <w:sz w:val="19"/>
          <w:szCs w:val="19"/>
        </w:rPr>
        <w:t xml:space="preserve">2.1 Le widget personnalisé « Advanced charts »</w:t>
      </w:r>
      <w:r>
        <w:rPr>
          <w:b w:val="false"/>
          <w:bCs w:val="false"/>
          <w:color w:val="5C5B57"/>
          <w:sz w:val="19"/>
          <w:szCs w:val="19"/>
        </w:rPr>
        <w:t xml:space="preserve">	5</w:t>
      </w:r>
    </w:p>
    <w:p>
      <w:pPr>
        <w:tabs>
          <w:tab w:val="right" w:pos="9638" w:leader="dot"/>
        </w:tabs>
        <w:spacing w:after="30" w:before="140"/>
        <w:ind w:left="0"/>
      </w:pPr>
      <w:r>
        <w:rPr>
          <w:b/>
          <w:bCs/>
          <w:color w:val="1D1D1B"/>
          <w:sz w:val="21"/>
          <w:szCs w:val="21"/>
        </w:rPr>
        <w:t xml:space="preserve">3. Benchmark</w:t>
      </w:r>
      <w:r>
        <w:rPr>
          <w:b/>
          <w:bCs/>
          <w:color w:val="1D1D1B"/>
          <w:sz w:val="21"/>
          <w:szCs w:val="21"/>
        </w:rPr>
        <w:t xml:space="preserve">	6</w:t>
      </w:r>
    </w:p>
    <w:p>
      <w:pPr>
        <w:tabs>
          <w:tab w:val="right" w:pos="9638" w:leader="dot"/>
        </w:tabs>
        <w:spacing w:after="30" w:before="30"/>
        <w:ind w:left="360"/>
      </w:pPr>
      <w:r>
        <w:rPr>
          <w:b w:val="false"/>
          <w:bCs w:val="false"/>
          <w:color w:val="5C5B57"/>
          <w:sz w:val="19"/>
          <w:szCs w:val="19"/>
        </w:rPr>
        <w:t xml:space="preserve">3.1 Notion — vue Graphique et vue Dashboard</w:t>
      </w:r>
      <w:r>
        <w:rPr>
          <w:b w:val="false"/>
          <w:bCs w:val="false"/>
          <w:color w:val="5C5B57"/>
          <w:sz w:val="19"/>
          <w:szCs w:val="19"/>
        </w:rPr>
        <w:t xml:space="preserve">	6</w:t>
      </w:r>
    </w:p>
    <w:p>
      <w:pPr>
        <w:tabs>
          <w:tab w:val="right" w:pos="9638" w:leader="dot"/>
        </w:tabs>
        <w:spacing w:after="30" w:before="30"/>
        <w:ind w:left="360"/>
      </w:pPr>
      <w:r>
        <w:rPr>
          <w:b w:val="false"/>
          <w:bCs w:val="false"/>
          <w:color w:val="5C5B57"/>
          <w:sz w:val="19"/>
          <w:szCs w:val="19"/>
        </w:rPr>
        <w:t xml:space="preserve">3.2 Airtable — Interface Designer, mise en page « Dashboard »</w:t>
      </w:r>
      <w:r>
        <w:rPr>
          <w:b w:val="false"/>
          <w:bCs w:val="false"/>
          <w:color w:val="5C5B57"/>
          <w:sz w:val="19"/>
          <w:szCs w:val="19"/>
        </w:rPr>
        <w:t xml:space="preserve">	7</w:t>
      </w:r>
    </w:p>
    <w:p>
      <w:pPr>
        <w:tabs>
          <w:tab w:val="right" w:pos="9638" w:leader="dot"/>
        </w:tabs>
        <w:spacing w:after="30" w:before="30"/>
        <w:ind w:left="360"/>
      </w:pPr>
      <w:r>
        <w:rPr>
          <w:b w:val="false"/>
          <w:bCs w:val="false"/>
          <w:color w:val="5C5B57"/>
          <w:sz w:val="19"/>
          <w:szCs w:val="19"/>
        </w:rPr>
        <w:t xml:space="preserve">3.3 NocoDB — Dashboards (bêta, 2025)</w:t>
      </w:r>
      <w:r>
        <w:rPr>
          <w:b w:val="false"/>
          <w:bCs w:val="false"/>
          <w:color w:val="5C5B57"/>
          <w:sz w:val="19"/>
          <w:szCs w:val="19"/>
        </w:rPr>
        <w:t xml:space="preserve">	7</w:t>
      </w:r>
    </w:p>
    <w:p>
      <w:pPr>
        <w:tabs>
          <w:tab w:val="right" w:pos="9638" w:leader="dot"/>
        </w:tabs>
        <w:spacing w:after="30" w:before="30"/>
        <w:ind w:left="360"/>
      </w:pPr>
      <w:r>
        <w:rPr>
          <w:b w:val="false"/>
          <w:bCs w:val="false"/>
          <w:color w:val="5C5B57"/>
          <w:sz w:val="19"/>
          <w:szCs w:val="19"/>
        </w:rPr>
        <w:t xml:space="preserve">3.4 Metabase — référence visuelle et de paramétrage</w:t>
      </w:r>
      <w:r>
        <w:rPr>
          <w:b w:val="false"/>
          <w:bCs w:val="false"/>
          <w:color w:val="5C5B57"/>
          <w:sz w:val="19"/>
          <w:szCs w:val="19"/>
        </w:rPr>
        <w:t xml:space="preserve">	8</w:t>
      </w:r>
    </w:p>
    <w:p>
      <w:pPr>
        <w:tabs>
          <w:tab w:val="right" w:pos="9638" w:leader="dot"/>
        </w:tabs>
        <w:spacing w:after="30" w:before="30"/>
        <w:ind w:left="360"/>
      </w:pPr>
      <w:r>
        <w:rPr>
          <w:b w:val="false"/>
          <w:bCs w:val="false"/>
          <w:color w:val="5C5B57"/>
          <w:sz w:val="19"/>
          <w:szCs w:val="19"/>
        </w:rPr>
        <w:t xml:space="preserve">3.5 Grille comparative</w:t>
      </w:r>
      <w:r>
        <w:rPr>
          <w:b w:val="false"/>
          <w:bCs w:val="false"/>
          <w:color w:val="5C5B57"/>
          <w:sz w:val="19"/>
          <w:szCs w:val="19"/>
        </w:rPr>
        <w:t xml:space="preserve">	9</w:t>
      </w:r>
    </w:p>
    <w:p>
      <w:pPr>
        <w:tabs>
          <w:tab w:val="right" w:pos="9638" w:leader="dot"/>
        </w:tabs>
        <w:spacing w:after="30" w:before="30"/>
        <w:ind w:left="360"/>
      </w:pPr>
      <w:r>
        <w:rPr>
          <w:b w:val="false"/>
          <w:bCs w:val="false"/>
          <w:color w:val="5C5B57"/>
          <w:sz w:val="19"/>
          <w:szCs w:val="19"/>
        </w:rPr>
        <w:t xml:space="preserve">3.6 Enseignements pour le design</w:t>
      </w:r>
      <w:r>
        <w:rPr>
          <w:b w:val="false"/>
          <w:bCs w:val="false"/>
          <w:color w:val="5C5B57"/>
          <w:sz w:val="19"/>
          <w:szCs w:val="19"/>
        </w:rPr>
        <w:t xml:space="preserve">	10</w:t>
      </w:r>
    </w:p>
    <w:p>
      <w:pPr>
        <w:tabs>
          <w:tab w:val="right" w:pos="9638" w:leader="dot"/>
        </w:tabs>
        <w:spacing w:after="30" w:before="140"/>
        <w:ind w:left="0"/>
      </w:pPr>
      <w:r>
        <w:rPr>
          <w:b/>
          <w:bCs/>
          <w:color w:val="1D1D1B"/>
          <w:sz w:val="21"/>
          <w:szCs w:val="21"/>
        </w:rPr>
        <w:t xml:space="preserve">4. Choix technologique : Apache ECharts</w:t>
      </w:r>
      <w:r>
        <w:rPr>
          <w:b/>
          <w:bCs/>
          <w:color w:val="1D1D1B"/>
          <w:sz w:val="21"/>
          <w:szCs w:val="21"/>
        </w:rPr>
        <w:t xml:space="preserve">	10</w:t>
      </w:r>
    </w:p>
    <w:p>
      <w:pPr>
        <w:tabs>
          <w:tab w:val="right" w:pos="9638" w:leader="dot"/>
        </w:tabs>
        <w:spacing w:after="30" w:before="30"/>
        <w:ind w:left="360"/>
      </w:pPr>
      <w:r>
        <w:rPr>
          <w:b w:val="false"/>
          <w:bCs w:val="false"/>
          <w:color w:val="5C5B57"/>
          <w:sz w:val="19"/>
          <w:szCs w:val="19"/>
        </w:rPr>
        <w:t xml:space="preserve">4.1 Comparatif des librairies</w:t>
      </w:r>
      <w:r>
        <w:rPr>
          <w:b w:val="false"/>
          <w:bCs w:val="false"/>
          <w:color w:val="5C5B57"/>
          <w:sz w:val="19"/>
          <w:szCs w:val="19"/>
        </w:rPr>
        <w:t xml:space="preserve">	10</w:t>
      </w:r>
    </w:p>
    <w:p>
      <w:pPr>
        <w:tabs>
          <w:tab w:val="right" w:pos="9638" w:leader="dot"/>
        </w:tabs>
        <w:spacing w:after="30" w:before="30"/>
        <w:ind w:left="360"/>
      </w:pPr>
      <w:r>
        <w:rPr>
          <w:b w:val="false"/>
          <w:bCs w:val="false"/>
          <w:color w:val="5C5B57"/>
          <w:sz w:val="19"/>
          <w:szCs w:val="19"/>
        </w:rPr>
        <w:t xml:space="preserve">4.2 Preuve de faisabilité : le prototype « Rath »</w:t>
      </w:r>
      <w:r>
        <w:rPr>
          <w:b w:val="false"/>
          <w:bCs w:val="false"/>
          <w:color w:val="5C5B57"/>
          <w:sz w:val="19"/>
          <w:szCs w:val="19"/>
        </w:rPr>
        <w:t xml:space="preserve">	11</w:t>
      </w:r>
    </w:p>
    <w:p>
      <w:pPr>
        <w:tabs>
          <w:tab w:val="right" w:pos="9638" w:leader="dot"/>
        </w:tabs>
        <w:spacing w:after="30" w:before="140"/>
        <w:ind w:left="0"/>
      </w:pPr>
      <w:r>
        <w:rPr>
          <w:b/>
          <w:bCs/>
          <w:color w:val="1D1D1B"/>
          <w:sz w:val="21"/>
          <w:szCs w:val="21"/>
        </w:rPr>
        <w:t xml:space="preserve">5. Spécifications fonctionnelles</w:t>
      </w:r>
      <w:r>
        <w:rPr>
          <w:b/>
          <w:bCs/>
          <w:color w:val="1D1D1B"/>
          <w:sz w:val="21"/>
          <w:szCs w:val="21"/>
        </w:rPr>
        <w:t xml:space="preserve">	13</w:t>
      </w:r>
    </w:p>
    <w:p>
      <w:pPr>
        <w:tabs>
          <w:tab w:val="right" w:pos="9638" w:leader="dot"/>
        </w:tabs>
        <w:spacing w:after="30" w:before="30"/>
        <w:ind w:left="360"/>
      </w:pPr>
      <w:r>
        <w:rPr>
          <w:b w:val="false"/>
          <w:bCs w:val="false"/>
          <w:color w:val="5C5B57"/>
          <w:sz w:val="19"/>
          <w:szCs w:val="19"/>
        </w:rPr>
        <w:t xml:space="preserve">5.1 Principe général</w:t>
      </w:r>
      <w:r>
        <w:rPr>
          <w:b w:val="false"/>
          <w:bCs w:val="false"/>
          <w:color w:val="5C5B57"/>
          <w:sz w:val="19"/>
          <w:szCs w:val="19"/>
        </w:rPr>
        <w:t xml:space="preserve">	13</w:t>
      </w:r>
    </w:p>
    <w:p>
      <w:pPr>
        <w:tabs>
          <w:tab w:val="right" w:pos="9638" w:leader="dot"/>
        </w:tabs>
        <w:spacing w:after="30" w:before="30"/>
        <w:ind w:left="360"/>
      </w:pPr>
      <w:r>
        <w:rPr>
          <w:b w:val="false"/>
          <w:bCs w:val="false"/>
          <w:color w:val="5C5B57"/>
          <w:sz w:val="19"/>
          <w:szCs w:val="19"/>
        </w:rPr>
        <w:t xml:space="preserve">5.2 Modes lecture et édition</w:t>
      </w:r>
      <w:r>
        <w:rPr>
          <w:b w:val="false"/>
          <w:bCs w:val="false"/>
          <w:color w:val="5C5B57"/>
          <w:sz w:val="19"/>
          <w:szCs w:val="19"/>
        </w:rPr>
        <w:t xml:space="preserve">	13</w:t>
      </w:r>
    </w:p>
    <w:p>
      <w:pPr>
        <w:tabs>
          <w:tab w:val="right" w:pos="9638" w:leader="dot"/>
        </w:tabs>
        <w:spacing w:after="30" w:before="30"/>
        <w:ind w:left="360"/>
      </w:pPr>
      <w:r>
        <w:rPr>
          <w:b w:val="false"/>
          <w:bCs w:val="false"/>
          <w:color w:val="5C5B57"/>
          <w:sz w:val="19"/>
          <w:szCs w:val="19"/>
        </w:rPr>
        <w:t xml:space="preserve">5.3 Catalogue des tuiles</w:t>
      </w:r>
      <w:r>
        <w:rPr>
          <w:b w:val="false"/>
          <w:bCs w:val="false"/>
          <w:color w:val="5C5B57"/>
          <w:sz w:val="19"/>
          <w:szCs w:val="19"/>
        </w:rPr>
        <w:t xml:space="preserve">	14</w:t>
      </w:r>
    </w:p>
    <w:p>
      <w:pPr>
        <w:tabs>
          <w:tab w:val="right" w:pos="9638" w:leader="dot"/>
        </w:tabs>
        <w:spacing w:after="30" w:before="30"/>
        <w:ind w:left="360"/>
      </w:pPr>
      <w:r>
        <w:rPr>
          <w:b w:val="false"/>
          <w:bCs w:val="false"/>
          <w:color w:val="5C5B57"/>
          <w:sz w:val="19"/>
          <w:szCs w:val="19"/>
        </w:rPr>
        <w:t xml:space="preserve">5.4 Paramétrage d’une tuile</w:t>
      </w:r>
      <w:r>
        <w:rPr>
          <w:b w:val="false"/>
          <w:bCs w:val="false"/>
          <w:color w:val="5C5B57"/>
          <w:sz w:val="19"/>
          <w:szCs w:val="19"/>
        </w:rPr>
        <w:t xml:space="preserve">	16</w:t>
      </w:r>
    </w:p>
    <w:p>
      <w:pPr>
        <w:tabs>
          <w:tab w:val="right" w:pos="9638" w:leader="dot"/>
        </w:tabs>
        <w:spacing w:after="30" w:before="30"/>
        <w:ind w:left="360"/>
      </w:pPr>
      <w:r>
        <w:rPr>
          <w:b w:val="false"/>
          <w:bCs w:val="false"/>
          <w:color w:val="5C5B57"/>
          <w:sz w:val="19"/>
          <w:szCs w:val="19"/>
        </w:rPr>
        <w:t xml:space="preserve">5.5 Données et règles de calcul</w:t>
      </w:r>
      <w:r>
        <w:rPr>
          <w:b w:val="false"/>
          <w:bCs w:val="false"/>
          <w:color w:val="5C5B57"/>
          <w:sz w:val="19"/>
          <w:szCs w:val="19"/>
        </w:rPr>
        <w:t xml:space="preserve">	17</w:t>
      </w:r>
    </w:p>
    <w:p>
      <w:pPr>
        <w:tabs>
          <w:tab w:val="right" w:pos="9638" w:leader="dot"/>
        </w:tabs>
        <w:spacing w:after="30" w:before="30"/>
        <w:ind w:left="360"/>
      </w:pPr>
      <w:r>
        <w:rPr>
          <w:b w:val="false"/>
          <w:bCs w:val="false"/>
          <w:color w:val="5C5B57"/>
          <w:sz w:val="19"/>
          <w:szCs w:val="19"/>
        </w:rPr>
        <w:t xml:space="preserve">5.6 Filtres globaux et interactions</w:t>
      </w:r>
      <w:r>
        <w:rPr>
          <w:b w:val="false"/>
          <w:bCs w:val="false"/>
          <w:color w:val="5C5B57"/>
          <w:sz w:val="19"/>
          <w:szCs w:val="19"/>
        </w:rPr>
        <w:t xml:space="preserve">	17</w:t>
      </w:r>
    </w:p>
    <w:p>
      <w:pPr>
        <w:tabs>
          <w:tab w:val="right" w:pos="9638" w:leader="dot"/>
        </w:tabs>
        <w:spacing w:after="30" w:before="30"/>
        <w:ind w:left="360"/>
      </w:pPr>
      <w:r>
        <w:rPr>
          <w:b w:val="false"/>
          <w:bCs w:val="false"/>
          <w:color w:val="5C5B57"/>
          <w:sz w:val="19"/>
          <w:szCs w:val="19"/>
        </w:rPr>
        <w:t xml:space="preserve">5.7 Mise en page</w:t>
      </w:r>
      <w:r>
        <w:rPr>
          <w:b w:val="false"/>
          <w:bCs w:val="false"/>
          <w:color w:val="5C5B57"/>
          <w:sz w:val="19"/>
          <w:szCs w:val="19"/>
        </w:rPr>
        <w:t xml:space="preserve">	17</w:t>
      </w:r>
    </w:p>
    <w:p>
      <w:pPr>
        <w:tabs>
          <w:tab w:val="right" w:pos="9638" w:leader="dot"/>
        </w:tabs>
        <w:spacing w:after="30" w:before="30"/>
        <w:ind w:left="360"/>
      </w:pPr>
      <w:r>
        <w:rPr>
          <w:b w:val="false"/>
          <w:bCs w:val="false"/>
          <w:color w:val="5C5B57"/>
          <w:sz w:val="19"/>
          <w:szCs w:val="19"/>
        </w:rPr>
        <w:t xml:space="preserve">5.8 Export et partage</w:t>
      </w:r>
      <w:r>
        <w:rPr>
          <w:b w:val="false"/>
          <w:bCs w:val="false"/>
          <w:color w:val="5C5B57"/>
          <w:sz w:val="19"/>
          <w:szCs w:val="19"/>
        </w:rPr>
        <w:t xml:space="preserve">	17</w:t>
      </w:r>
    </w:p>
    <w:p>
      <w:pPr>
        <w:tabs>
          <w:tab w:val="right" w:pos="9638" w:leader="dot"/>
        </w:tabs>
        <w:spacing w:after="30" w:before="140"/>
        <w:ind w:left="0"/>
      </w:pPr>
      <w:r>
        <w:rPr>
          <w:b/>
          <w:bCs/>
          <w:color w:val="1D1D1B"/>
          <w:sz w:val="21"/>
          <w:szCs w:val="21"/>
        </w:rPr>
        <w:t xml:space="preserve">6. Design et charte graphique</w:t>
      </w:r>
      <w:r>
        <w:rPr>
          <w:b/>
          <w:bCs/>
          <w:color w:val="1D1D1B"/>
          <w:sz w:val="21"/>
          <w:szCs w:val="21"/>
        </w:rPr>
        <w:t xml:space="preserve">	18</w:t>
      </w:r>
    </w:p>
    <w:p>
      <w:pPr>
        <w:tabs>
          <w:tab w:val="right" w:pos="9638" w:leader="dot"/>
        </w:tabs>
        <w:spacing w:after="30" w:before="30"/>
        <w:ind w:left="360"/>
      </w:pPr>
      <w:r>
        <w:rPr>
          <w:b w:val="false"/>
          <w:bCs w:val="false"/>
          <w:color w:val="5C5B57"/>
          <w:sz w:val="19"/>
          <w:szCs w:val="19"/>
        </w:rPr>
        <w:t xml:space="preserve">6.1 Principes</w:t>
      </w:r>
      <w:r>
        <w:rPr>
          <w:b w:val="false"/>
          <w:bCs w:val="false"/>
          <w:color w:val="5C5B57"/>
          <w:sz w:val="19"/>
          <w:szCs w:val="19"/>
        </w:rPr>
        <w:t xml:space="preserve">	18</w:t>
      </w:r>
    </w:p>
    <w:p>
      <w:pPr>
        <w:tabs>
          <w:tab w:val="right" w:pos="9638" w:leader="dot"/>
        </w:tabs>
        <w:spacing w:after="30" w:before="30"/>
        <w:ind w:left="360"/>
      </w:pPr>
      <w:r>
        <w:rPr>
          <w:b w:val="false"/>
          <w:bCs w:val="false"/>
          <w:color w:val="5C5B57"/>
          <w:sz w:val="19"/>
          <w:szCs w:val="19"/>
        </w:rPr>
        <w:t xml:space="preserve">6.2 Palette</w:t>
      </w:r>
      <w:r>
        <w:rPr>
          <w:b w:val="false"/>
          <w:bCs w:val="false"/>
          <w:color w:val="5C5B57"/>
          <w:sz w:val="19"/>
          <w:szCs w:val="19"/>
        </w:rPr>
        <w:t xml:space="preserve">	18</w:t>
      </w:r>
    </w:p>
    <w:p>
      <w:pPr>
        <w:tabs>
          <w:tab w:val="right" w:pos="9638" w:leader="dot"/>
        </w:tabs>
        <w:spacing w:after="30" w:before="30"/>
        <w:ind w:left="360"/>
      </w:pPr>
      <w:r>
        <w:rPr>
          <w:b w:val="false"/>
          <w:bCs w:val="false"/>
          <w:color w:val="5C5B57"/>
          <w:sz w:val="19"/>
          <w:szCs w:val="19"/>
        </w:rPr>
        <w:t xml:space="preserve">6.3 Jetons de design et anatomie d’une tuile</w:t>
      </w:r>
      <w:r>
        <w:rPr>
          <w:b w:val="false"/>
          <w:bCs w:val="false"/>
          <w:color w:val="5C5B57"/>
          <w:sz w:val="19"/>
          <w:szCs w:val="19"/>
        </w:rPr>
        <w:t xml:space="preserve">	18</w:t>
      </w:r>
    </w:p>
    <w:p>
      <w:pPr>
        <w:tabs>
          <w:tab w:val="right" w:pos="9638" w:leader="dot"/>
        </w:tabs>
        <w:spacing w:after="30" w:before="30"/>
        <w:ind w:left="360"/>
      </w:pPr>
      <w:r>
        <w:rPr>
          <w:b w:val="false"/>
          <w:bCs w:val="false"/>
          <w:color w:val="5C5B57"/>
          <w:sz w:val="19"/>
          <w:szCs w:val="19"/>
        </w:rPr>
        <w:t xml:space="preserve">6.4 Mode sombre</w:t>
      </w:r>
      <w:r>
        <w:rPr>
          <w:b w:val="false"/>
          <w:bCs w:val="false"/>
          <w:color w:val="5C5B57"/>
          <w:sz w:val="19"/>
          <w:szCs w:val="19"/>
        </w:rPr>
        <w:t xml:space="preserve">	19</w:t>
      </w:r>
    </w:p>
    <w:p>
      <w:pPr>
        <w:tabs>
          <w:tab w:val="right" w:pos="9638" w:leader="dot"/>
        </w:tabs>
        <w:spacing w:after="30" w:before="30"/>
        <w:ind w:left="360"/>
      </w:pPr>
      <w:r>
        <w:rPr>
          <w:b w:val="false"/>
          <w:bCs w:val="false"/>
          <w:color w:val="5C5B57"/>
          <w:sz w:val="19"/>
          <w:szCs w:val="19"/>
        </w:rPr>
        <w:t xml:space="preserve">6.5 Accessibilité</w:t>
      </w:r>
      <w:r>
        <w:rPr>
          <w:b w:val="false"/>
          <w:bCs w:val="false"/>
          <w:color w:val="5C5B57"/>
          <w:sz w:val="19"/>
          <w:szCs w:val="19"/>
        </w:rPr>
        <w:t xml:space="preserve">	19</w:t>
      </w:r>
    </w:p>
    <w:p>
      <w:pPr>
        <w:tabs>
          <w:tab w:val="right" w:pos="9638" w:leader="dot"/>
        </w:tabs>
        <w:spacing w:after="30" w:before="140"/>
        <w:ind w:left="0"/>
      </w:pPr>
      <w:r>
        <w:rPr>
          <w:b/>
          <w:bCs/>
          <w:color w:val="1D1D1B"/>
          <w:sz w:val="21"/>
          <w:szCs w:val="21"/>
        </w:rPr>
        <w:t xml:space="preserve">7. Exigences non fonctionnelles</w:t>
      </w:r>
      <w:r>
        <w:rPr>
          <w:b/>
          <w:bCs/>
          <w:color w:val="1D1D1B"/>
          <w:sz w:val="21"/>
          <w:szCs w:val="21"/>
        </w:rPr>
        <w:t xml:space="preserve">	20</w:t>
      </w:r>
    </w:p>
    <w:p>
      <w:pPr>
        <w:tabs>
          <w:tab w:val="right" w:pos="9638" w:leader="dot"/>
        </w:tabs>
        <w:spacing w:after="30" w:before="30"/>
        <w:ind w:left="360"/>
      </w:pPr>
      <w:r>
        <w:rPr>
          <w:b w:val="false"/>
          <w:bCs w:val="false"/>
          <w:color w:val="5C5B57"/>
          <w:sz w:val="19"/>
          <w:szCs w:val="19"/>
        </w:rPr>
        <w:t xml:space="preserve">7.1 Architecture technique</w:t>
      </w:r>
      <w:r>
        <w:rPr>
          <w:b w:val="false"/>
          <w:bCs w:val="false"/>
          <w:color w:val="5C5B57"/>
          <w:sz w:val="19"/>
          <w:szCs w:val="19"/>
        </w:rPr>
        <w:t xml:space="preserve">	20</w:t>
      </w:r>
    </w:p>
    <w:p>
      <w:pPr>
        <w:tabs>
          <w:tab w:val="right" w:pos="9638" w:leader="dot"/>
        </w:tabs>
        <w:spacing w:after="30" w:before="140"/>
        <w:ind w:left="0"/>
      </w:pPr>
      <w:r>
        <w:rPr>
          <w:b/>
          <w:bCs/>
          <w:color w:val="1D1D1B"/>
          <w:sz w:val="21"/>
          <w:szCs w:val="21"/>
        </w:rPr>
        <w:t xml:space="preserve">8. Lotissement, planning et risques</w:t>
      </w:r>
      <w:r>
        <w:rPr>
          <w:b/>
          <w:bCs/>
          <w:color w:val="1D1D1B"/>
          <w:sz w:val="21"/>
          <w:szCs w:val="21"/>
        </w:rPr>
        <w:t xml:space="preserve">	22</w:t>
      </w:r>
    </w:p>
    <w:p>
      <w:pPr>
        <w:tabs>
          <w:tab w:val="right" w:pos="9638" w:leader="dot"/>
        </w:tabs>
        <w:spacing w:after="30" w:before="30"/>
        <w:ind w:left="360"/>
      </w:pPr>
      <w:r>
        <w:rPr>
          <w:b w:val="false"/>
          <w:bCs w:val="false"/>
          <w:color w:val="5C5B57"/>
          <w:sz w:val="19"/>
          <w:szCs w:val="19"/>
        </w:rPr>
        <w:t xml:space="preserve">8.1 Critères d’acceptation</w:t>
      </w:r>
      <w:r>
        <w:rPr>
          <w:b w:val="false"/>
          <w:bCs w:val="false"/>
          <w:color w:val="5C5B57"/>
          <w:sz w:val="19"/>
          <w:szCs w:val="19"/>
        </w:rPr>
        <w:t xml:space="preserve">	22</w:t>
      </w:r>
    </w:p>
    <w:p>
      <w:pPr>
        <w:tabs>
          <w:tab w:val="right" w:pos="9638" w:leader="dot"/>
        </w:tabs>
        <w:spacing w:after="30" w:before="140"/>
        <w:ind w:left="0"/>
      </w:pPr>
      <w:r>
        <w:rPr>
          <w:b/>
          <w:bCs/>
          <w:color w:val="1D1D1B"/>
          <w:sz w:val="21"/>
          <w:szCs w:val="21"/>
        </w:rPr>
        <w:t xml:space="preserve">Annexe A — Captures complémentaires du prototype</w:t>
      </w:r>
      <w:r>
        <w:rPr>
          <w:b/>
          <w:bCs/>
          <w:color w:val="1D1D1B"/>
          <w:sz w:val="21"/>
          <w:szCs w:val="21"/>
        </w:rPr>
        <w:t xml:space="preserve">	23</w:t>
      </w:r>
    </w:p>
    <w:p>
      <w:pPr>
        <w:tabs>
          <w:tab w:val="right" w:pos="9638" w:leader="dot"/>
        </w:tabs>
        <w:spacing w:after="30" w:before="30"/>
        <w:ind w:left="360"/>
      </w:pPr>
      <w:r>
        <w:rPr>
          <w:b w:val="false"/>
          <w:bCs w:val="false"/>
          <w:color w:val="5C5B57"/>
          <w:sz w:val="19"/>
          <w:szCs w:val="19"/>
        </w:rPr>
        <w:t xml:space="preserve">Annexe B — Sources</w:t>
      </w:r>
      <w:r>
        <w:rPr>
          <w:b w:val="false"/>
          <w:bCs w:val="false"/>
          <w:color w:val="5C5B57"/>
          <w:sz w:val="19"/>
          <w:szCs w:val="19"/>
        </w:rPr>
        <w:t xml:space="preserve">	23</w:t>
      </w:r>
    </w:p>
    <w:p>
      <w:pPr>
        <w:pStyle w:val="Heading1"/>
        <w:pageBreakBefore/>
      </w:pPr>
      <w:r>
        <w:t xml:space="preserve">1. Contexte et objectifs</w:t>
      </w:r>
    </w:p>
    <w:p>
      <w:pPr>
        <w:pStyle w:val="Heading2"/>
      </w:pPr>
      <w:r>
        <w:t xml:space="preserve">1.1 Contexte</w:t>
      </w:r>
    </w:p>
    <w:p>
      <w:pPr>
        <w:spacing w:after="120" w:line="276"/>
      </w:pPr>
      <w:r>
        <w:t xml:space="preserve">Grist est utilisé comme outil de gestion de bases de données relationnelles par des équipes métier. Les données y sont bien structurées (tables liées, formules Python, droits d’accès fins), mais leur </w:t>
      </w:r>
      <w:r>
        <w:rPr>
          <w:b/>
          <w:bCs/>
        </w:rPr>
        <w:t xml:space="preserve">restitution visuelle</w:t>
      </w:r>
      <w:r>
        <w:t xml:space="preserve"> reste en retrait par rapport aux outils concurrents : les graphiques natifs reposent sur une intégration minimale de Plotly, sans notion de tableau de bord, d’indicateurs clés (KPI) ni de filtres globaux.</w:t>
      </w:r>
    </w:p>
    <w:p>
      <w:pPr>
        <w:spacing w:after="120" w:line="276"/>
      </w:pPr>
      <w:r>
        <w:t xml:space="preserve">Les utilisateurs comparent spontanément Grist à Notion, Airtable ou NocoDB, qui proposent désormais des vues « Dashboard » soignées. L’objectif n’est pas de concurrencer un outil de BI complet, mais d’offrir </w:t>
      </w:r>
      <w:r>
        <w:rPr>
          <w:b/>
          <w:bCs/>
        </w:rPr>
        <w:t xml:space="preserve">un rendu graphique au niveau d’un outil de gestion de données moderne</w:t>
      </w:r>
      <w:r>
        <w:t xml:space="preserve"> : lisible, élégant, configurable sans code.</w:t>
      </w:r>
    </w:p>
    <w:p>
      <w:pPr>
        <w:pStyle w:val="Heading2"/>
      </w:pPr>
      <w:r>
        <w:t xml:space="preserve">1.2 Objectifs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Offrir un </w:t>
      </w:r>
      <w:r>
        <w:rPr>
          <w:b/>
          <w:bCs/>
        </w:rPr>
        <w:t xml:space="preserve">widget personnalisé « Tableau de bord »</w:t>
      </w:r>
      <w:r>
        <w:t xml:space="preserve"> qui assemble, dans une même section Grist, des indicateurs, des graphiques, des tableaux et des textes organisés sur une grille.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S’appuyer sur </w:t>
      </w:r>
      <w:r>
        <w:rPr>
          <w:b/>
          <w:bCs/>
        </w:rPr>
        <w:t xml:space="preserve">Apache ECharts</w:t>
      </w:r>
      <w:r>
        <w:t xml:space="preserve"> (licence Apache 2.0), la librairie utilisée par Metabase, pour un rendu de qualité professionnelle et un catalogue de graphiques étendu.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Proposer un </w:t>
      </w:r>
      <w:r>
        <w:rPr>
          <w:b/>
          <w:bCs/>
        </w:rPr>
        <w:t xml:space="preserve">paramétrage visuel</w:t>
      </w:r>
      <w:r>
        <w:t xml:space="preserve"> inspiré de Metabase (onglets Données / Affichage / Axes) et validé par le prototype « Rath » déjà déployé.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Rester </w:t>
      </w:r>
      <w:r>
        <w:rPr>
          <w:b/>
          <w:bCs/>
        </w:rPr>
        <w:t xml:space="preserve">natif Grist</w:t>
      </w:r>
      <w:r>
        <w:t xml:space="preserve"> : données lues en temps réel via l’API des widgets, respect des droits d’accès, configuration enregistrée dans le document.</w:t>
      </w:r>
    </w:p>
    <w:p>
      <w:pPr>
        <w:pStyle w:val="Heading2"/>
      </w:pPr>
      <w:r>
        <w:t xml:space="preserve">1.3 Périmètre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7"/>
                <w:szCs w:val="17"/>
              </w:rPr>
              <w:t xml:space="preserve">Dans le périmètre</w:t>
            </w:r>
          </w:p>
        </w:tc>
        <w:tc>
          <w:tcPr>
            <w:tcW w:type="dxa" w:w="481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7"/>
                <w:szCs w:val="17"/>
              </w:rPr>
              <w:t xml:space="preserve">Hors périmètre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Widget personnalisé (iframe) installable sur grist-core et Grist SaaS</w:t>
            </w:r>
          </w:p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Tuiles : KPI, graphiques ECharts, tableau, tableau croisé, texte, filtre</w:t>
            </w:r>
          </w:p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Agrégations et regroupements temporels côté widget</w:t>
            </w:r>
          </w:p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Filtres globaux, interactions (survol, zoom, clic → enregistrements)</w:t>
            </w:r>
          </w:p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Mise en page en grille, mode lecture / édition, export PNG/SVG/CSV</w:t>
            </w:r>
          </w:p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Thème clair / sombre, accessibilité, français et anglais</w:t>
            </w:r>
          </w:p>
        </w:tc>
        <w:tc>
          <w:tcPr>
            <w:tcW w:type="dxa" w:w="481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Requêtes SQL libres ou jointures arbitraires (on s’appuie sur les tables et colonnes de formule Grist)</w:t>
            </w:r>
          </w:p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Alertes, envois programmés, abonnements e-mail</w:t>
            </w:r>
          </w:p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Modification du cœur de Grist (le widget passe par l’API publique)</w:t>
            </w:r>
          </w:p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Cartographie avancée (tuiles OSM, géocodage) — le widget Carte existant reste la référence</w:t>
            </w:r>
          </w:p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Visualisations 3D, animations narratives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1.4 Utilisateurs cibles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9"/>
        <w:gridCol w:w="3012"/>
        <w:gridCol w:w="4417"/>
      </w:tblGrid>
      <w:tr>
        <w:trPr>
          <w:tblHeader/>
        </w:trPr>
        <w:tc>
          <w:tcPr>
            <w:tcW w:type="dxa" w:w="220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7"/>
                <w:szCs w:val="17"/>
              </w:rPr>
              <w:t xml:space="preserve">Profil</w:t>
            </w:r>
          </w:p>
        </w:tc>
        <w:tc>
          <w:tcPr>
            <w:tcW w:type="dxa" w:w="301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7"/>
                <w:szCs w:val="17"/>
              </w:rPr>
              <w:t xml:space="preserve">Besoin principal</w:t>
            </w:r>
          </w:p>
        </w:tc>
        <w:tc>
          <w:tcPr>
            <w:tcW w:type="dxa" w:w="441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7"/>
                <w:szCs w:val="17"/>
              </w:rPr>
              <w:t xml:space="preserve">Attentes vis-à-vis du widget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Concepteur du document</w:t>
            </w:r>
          </w:p>
        </w:tc>
        <w:tc>
          <w:tcPr>
            <w:tcW w:type="dxa" w:w="301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Construire un tableau de bord sans code</w:t>
            </w:r>
          </w:p>
        </w:tc>
        <w:tc>
          <w:tcPr>
            <w:tcW w:type="dxa" w:w="441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Choix guidé du graphique, aperçu immédiat, valeurs par défaut pertinentes, glisser-déposer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Lecteur / décideur</w:t>
            </w:r>
          </w:p>
        </w:tc>
        <w:tc>
          <w:tcPr>
            <w:tcW w:type="dxa" w:w="301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Comprendre la situation en 30 secondes</w:t>
            </w:r>
          </w:p>
        </w:tc>
        <w:tc>
          <w:tcPr>
            <w:tcW w:type="dxa" w:w="441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KPI en tête, graphiques lisibles, filtres simples, export pour une réunion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Agent métier</w:t>
            </w:r>
          </w:p>
        </w:tc>
        <w:tc>
          <w:tcPr>
            <w:tcW w:type="dxa" w:w="301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Suivre son activité au quotidien</w:t>
            </w:r>
          </w:p>
        </w:tc>
        <w:tc>
          <w:tcPr>
            <w:tcW w:type="dxa" w:w="441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Filtrer par sa direction / période, cliquer sur une barre pour voir les lignes correspondantes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2. État des lieux : la visualisation dans Grist aujourd’hui</w:t>
      </w:r>
    </w:p>
    <w:p>
      <w:pPr>
        <w:spacing w:after="120" w:line="276"/>
      </w:pPr>
      <w:r>
        <w:t xml:space="preserve">Pour évaluer l’existant dans des conditions réelles, un serveur </w:t>
      </w:r>
      <w:r>
        <w:rPr>
          <w:b/>
          <w:bCs/>
        </w:rPr>
        <w:t xml:space="preserve">grist-core</w:t>
      </w:r>
      <w:r>
        <w:t xml:space="preserve"> a été compilé et lancé localement, puis un document « Pilotage des projets » a été créé (30 projets, 5 directions, 4 statuts, 54 relevés mensuels de demandes par canal). Trois graphiques natifs ont été ajoutés sur une page « Tableau de bord ».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4229100"/>
            <wp:effectExtent t="0" r="0" b="0" l="0"/>
            <wp:docPr id="1" name="grist_native" descr="grist_native" title="grist_na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C5B57"/>
          <w:sz w:val="17"/>
          <w:szCs w:val="17"/>
        </w:rPr>
        <w:t xml:space="preserve">Figure 1 — </w:t>
      </w:r>
      <w:r>
        <w:rPr>
          <w:i/>
          <w:iCs/>
          <w:color w:val="5C5B57"/>
          <w:sz w:val="17"/>
          <w:szCs w:val="17"/>
        </w:rPr>
        <w:t xml:space="preserve">Graphiques natifs Grist (Plotly) sur le document de démonstration, panneau de configuration ouvert. Annotations : voir tableau ci-dessous.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"/>
        <w:gridCol w:w="9136"/>
      </w:tblGrid>
      <w:tr>
        <w:trPr>
          <w:tblHeader/>
        </w:trPr>
        <w:tc>
          <w:tcPr>
            <w:tcW w:type="dxa" w:w="50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7"/>
                <w:szCs w:val="17"/>
              </w:rPr>
              <w:t xml:space="preserve">#</w:t>
            </w:r>
          </w:p>
        </w:tc>
        <w:tc>
          <w:tcPr>
            <w:tcW w:type="dxa" w:w="913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7"/>
                <w:szCs w:val="17"/>
              </w:rPr>
              <w:t xml:space="preserve">Observation</w:t>
            </w:r>
          </w:p>
        </w:tc>
      </w:tr>
      <w:tr>
        <w:trPr>
          <w:cantSplit/>
        </w:trPr>
        <w:tc>
          <w:tcPr>
            <w:tcW w:type="dxa" w:w="50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1</w:t>
            </w:r>
          </w:p>
        </w:tc>
        <w:tc>
          <w:tcPr>
            <w:tcW w:type="dxa" w:w="913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Libellés de l’axe X inclinés à 45° par défaut, aucun tri par valeur, pas de formatage monétaire des axes (« 2M », « 0.5M » à l’anglaise).</w:t>
            </w:r>
          </w:p>
        </w:tc>
      </w:tr>
      <w:tr>
        <w:trPr>
          <w:cantSplit/>
        </w:trPr>
        <w:tc>
          <w:tcPr>
            <w:tcW w:type="dxa" w:w="50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2</w:t>
            </w:r>
          </w:p>
        </w:tc>
        <w:tc>
          <w:tcPr>
            <w:tcW w:type="dxa" w:w="913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La légende affiche l’identifiant brut de la colonne (« Consomme » au lieu de « Consommé ») ; les couleurs sont celles de Plotly par défaut, non thématisables.</w:t>
            </w:r>
          </w:p>
        </w:tc>
      </w:tr>
      <w:tr>
        <w:trPr>
          <w:cantSplit/>
        </w:trPr>
        <w:tc>
          <w:tcPr>
            <w:tcW w:type="dxa" w:w="50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3</w:t>
            </w:r>
          </w:p>
        </w:tc>
        <w:tc>
          <w:tcPr>
            <w:tcW w:type="dxa" w:w="913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Camembert : étiquettes de pourcentage tronquées et pivotées dans les petites parts, pas de total central, pas de donut par défaut.</w:t>
            </w:r>
          </w:p>
        </w:tc>
      </w:tr>
      <w:tr>
        <w:trPr>
          <w:cantSplit/>
        </w:trPr>
        <w:tc>
          <w:tcPr>
            <w:tcW w:type="dxa" w:w="50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4</w:t>
            </w:r>
          </w:p>
        </w:tc>
        <w:tc>
          <w:tcPr>
            <w:tcW w:type="dxa" w:w="913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Aucun bandeau d’indicateurs (KPI), aucun filtre global : chaque graphique est une section indépendante, liée à une table récapitulative.</w:t>
            </w:r>
          </w:p>
        </w:tc>
      </w:tr>
      <w:tr>
        <w:trPr>
          <w:cantSplit/>
        </w:trPr>
        <w:tc>
          <w:tcPr>
            <w:tcW w:type="dxa" w:w="50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5</w:t>
            </w:r>
          </w:p>
        </w:tc>
        <w:tc>
          <w:tcPr>
            <w:tcW w:type="dxa" w:w="913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Options limitées à six cases (empiler, orientation, échelle log, barres d’erreur…) : pas de ligne d’objectif, d’étiquettes de valeur, de format de nombre, de palette.</w:t>
            </w:r>
          </w:p>
        </w:tc>
      </w:tr>
      <w:tr>
        <w:trPr>
          <w:cantSplit/>
        </w:trPr>
        <w:tc>
          <w:tcPr>
            <w:tcW w:type="dxa" w:w="50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6</w:t>
            </w:r>
          </w:p>
        </w:tc>
        <w:tc>
          <w:tcPr>
            <w:tcW w:type="dxa" w:w="913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Chaque série doit être une colonne d’une table récapitulative créée au préalable : l’agrégation (somme, moyenne, nombre) n’est pas choisie dans le graphique.</w:t>
            </w:r>
          </w:p>
        </w:tc>
      </w:tr>
      <w:tr>
        <w:trPr>
          <w:cantSplit/>
        </w:trPr>
        <w:tc>
          <w:tcPr>
            <w:tcW w:type="dxa" w:w="50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7</w:t>
            </w:r>
          </w:p>
        </w:tc>
        <w:tc>
          <w:tcPr>
            <w:tcW w:type="dxa" w:w="913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Lignes : rendu Plotly standard (pas d’aire, de lissage, d’infobulle formatée en français) ; l’ordre des champs détermine silencieusement le découpage des séries.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2.1 Le widget personnalisé « Advanced charts »</w:t>
      </w:r>
    </w:p>
    <w:p>
      <w:pPr>
        <w:spacing w:after="120" w:line="276"/>
      </w:pPr>
      <w:r>
        <w:t xml:space="preserve">Grist propose aussi le widget « Advanced charts », qui embarque l’éditeur </w:t>
      </w:r>
      <w:r>
        <w:rPr>
          <w:b/>
          <w:bCs/>
        </w:rPr>
        <w:t xml:space="preserve">react-chart-editor de Plotly</w:t>
      </w:r>
      <w:r>
        <w:t xml:space="preserve">. Il est très puissant mais s’adresse à des profils techniques : interface en anglais, vocabulaire Plotly (traces, subplots, transforms), configuration trace par trace, aucune notion de tableau de bord.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00500" cy="3943350"/>
            <wp:effectExtent t="0" r="0" b="0" l="0"/>
            <wp:docPr id="1" name="grist_plotly" descr="grist_plotly" title="grist_plot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C5B57"/>
          <w:sz w:val="17"/>
          <w:szCs w:val="17"/>
        </w:rPr>
        <w:t xml:space="preserve">Figure 2 — </w:t>
      </w:r>
      <w:r>
        <w:rPr>
          <w:i/>
          <w:iCs/>
          <w:color w:val="5C5B57"/>
          <w:sz w:val="17"/>
          <w:szCs w:val="17"/>
        </w:rPr>
        <w:t xml:space="preserve">Widget « Advanced charts » : (1) arborescence Plotly en anglais, (2) configuration trace par trace, (3) enregistrement manuel, (4) zone de rendu vide tant que la trace n’est pas complète.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E8175D" w:sz="24"/>
              <w:bottom w:val="none" w:color="FFFFFF" w:sz="0"/>
              <w:right w:val="none" w:color="FFFFFF" w:sz="0"/>
            </w:tcBorders>
            <w:shd w:fill="FDF0F4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E8175D"/>
                <w:sz w:val="19"/>
                <w:szCs w:val="19"/>
              </w:rPr>
              <w:t xml:space="preserve">Synthèse des manques</w:t>
            </w:r>
          </w:p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Pas de tableau de bord</w:t>
            </w:r>
            <w:r>
              <w:rPr>
                <w:sz w:val="18"/>
                <w:szCs w:val="18"/>
              </w:rPr>
              <w:t xml:space="preserve"> : ni grille, ni KPI, ni filtres globaux, ni texte de contexte entre les graphiques.</w:t>
            </w:r>
          </w:p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Rendu daté</w:t>
            </w:r>
            <w:r>
              <w:rPr>
                <w:sz w:val="18"/>
                <w:szCs w:val="18"/>
              </w:rPr>
              <w:t xml:space="preserve"> : palette, typographie et formats par défaut de Plotly ; pas de mode sombre cohérent ; pas de localisation des nombres.</w:t>
            </w:r>
          </w:p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Paramétrage contraint</w:t>
            </w:r>
            <w:r>
              <w:rPr>
                <w:sz w:val="18"/>
                <w:szCs w:val="18"/>
              </w:rPr>
              <w:t xml:space="preserve"> : dépendance aux tables récapitulatives, peu d’options d’affichage, éditeur avancé trop technique.</w:t>
            </w:r>
          </w:p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Catalogue restreint</w:t>
            </w:r>
            <w:r>
              <w:rPr>
                <w:sz w:val="18"/>
                <w:szCs w:val="18"/>
              </w:rPr>
              <w:t xml:space="preserve"> : 7 types natifs (barres, lignes, aires, nuage, secteurs, donut, Kaplan-Meier) ; pas de jauge, treemap, Sankey, cascade, heatmap, tableau croisé.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3. Benchmark</w:t>
      </w:r>
    </w:p>
    <w:p>
      <w:pPr>
        <w:spacing w:after="120" w:line="276"/>
      </w:pPr>
      <w:r>
        <w:t xml:space="preserve">Le benchmark porte sur les trois outils de gestion de données cités (Notion, Airtable, NocoDB) et sur </w:t>
      </w:r>
      <w:r>
        <w:rPr>
          <w:b/>
          <w:bCs/>
        </w:rPr>
        <w:t xml:space="preserve">Metabase</w:t>
      </w:r>
      <w:r>
        <w:t xml:space="preserve">, retenu comme référence de qualité visuelle et de paramétrage (outil de BI open source, dont les graphiques reposent sur ECharts). Les captures proviennent des documentations publiques des éditeurs ; l’analyse UI se concentre sur ce qui est transposable dans Grist.</w:t>
      </w:r>
    </w:p>
    <w:p>
      <w:pPr>
        <w:pStyle w:val="Heading2"/>
      </w:pPr>
      <w:r>
        <w:t xml:space="preserve">3.1 Notion — vue Graphique et vue Dashboard</w:t>
      </w:r>
    </w:p>
    <w:p>
      <w:pPr>
        <w:spacing w:after="120" w:line="276"/>
      </w:pPr>
      <w:r>
        <w:t xml:space="preserve">Notion a introduit en 2024 une </w:t>
      </w:r>
      <w:r>
        <w:rPr>
          <w:b/>
          <w:bCs/>
        </w:rPr>
        <w:t xml:space="preserve">vue Graphique</w:t>
      </w:r>
      <w:r>
        <w:t xml:space="preserve"> sur les bases de données (barres verticales et horizontales, lignes, donut), puis en mars 2026 une </w:t>
      </w:r>
      <w:r>
        <w:rPr>
          <w:b/>
          <w:bCs/>
        </w:rPr>
        <w:t xml:space="preserve">vue Dashboard</w:t>
      </w:r>
      <w:r>
        <w:t xml:space="preserve"> qui assemble jusqu’à 12 widgets (4 par ligne) issus d’une ou plusieurs bases, avec des filtres globaux.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324225"/>
            <wp:effectExtent t="0" r="0" b="0" l="0"/>
            <wp:docPr id="1" name="notion" descr="notion" title="no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C5B57"/>
          <w:sz w:val="17"/>
          <w:szCs w:val="17"/>
        </w:rPr>
        <w:t xml:space="preserve">Figure 3 — </w:t>
      </w:r>
      <w:r>
        <w:rPr>
          <w:i/>
          <w:iCs/>
          <w:color w:val="5C5B57"/>
          <w:sz w:val="17"/>
          <w:szCs w:val="17"/>
        </w:rPr>
        <w:t xml:space="preserve">Notion — vue Graphique : (1) le graphique est une vue de la base, au même titre qu’un tableau ; (2) choix du type par icônes ; (3) axe X avec tri et masquage des zéros ; (4) axe Y avec regroupement et cumul ; (5) étiquettes de valeur sobres, aire en dégradé léger.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9"/>
        <w:gridCol w:w="200"/>
        <w:gridCol w:w="4719"/>
      </w:tblGrid>
      <w:tr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905125" cy="1819275"/>
                  <wp:effectExtent t="0" r="0" b="0" l="0"/>
                  <wp:docPr id="1" name="notion_types" descr="notion_types" title="notion_typ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color w:val="5C5B57"/>
                <w:sz w:val="16"/>
                <w:szCs w:val="16"/>
              </w:rPr>
              <w:t xml:space="preserve">Figure 4 — </w:t>
            </w:r>
            <w:r>
              <w:rPr>
                <w:i/>
                <w:iCs/>
                <w:color w:val="5C5B57"/>
                <w:sz w:val="16"/>
                <w:szCs w:val="16"/>
              </w:rPr>
              <w:t xml:space="preserve">Insertion par la commande /chart : 4 types, description courte pour chacun.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905125" cy="1876425"/>
                  <wp:effectExtent t="0" r="0" b="0" l="0"/>
                  <wp:docPr id="1" name="notion_dash" descr="notion_dash" title="notion_das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color w:val="5C5B57"/>
                <w:sz w:val="16"/>
                <w:szCs w:val="16"/>
              </w:rPr>
              <w:t xml:space="preserve">Figure 5 — </w:t>
            </w:r>
            <w:r>
              <w:rPr>
                <w:i/>
                <w:iCs/>
                <w:color w:val="5C5B57"/>
                <w:sz w:val="16"/>
                <w:szCs w:val="16"/>
              </w:rPr>
              <w:t xml:space="preserve">Vue Dashboard : widgets hétérogènes (liste, carte) et filtre multi-sources.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6B378" w:sz="24"/>
              <w:bottom w:val="none" w:color="FFFFFF" w:sz="0"/>
              <w:right w:val="none" w:color="FFFFFF" w:sz="0"/>
            </w:tcBorders>
            <w:shd w:fill="F0FAF5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E7A54"/>
                <w:sz w:val="19"/>
                <w:szCs w:val="19"/>
              </w:rPr>
              <w:t xml:space="preserve">À retenir de Notion</w:t>
            </w:r>
          </w:p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Peu d’options mais </w:t>
            </w:r>
            <w:r>
              <w:rPr>
                <w:b/>
                <w:bCs/>
                <w:sz w:val="18"/>
                <w:szCs w:val="18"/>
              </w:rPr>
              <w:t xml:space="preserve">excellentes valeurs par défaut</w:t>
            </w:r>
            <w:r>
              <w:rPr>
                <w:sz w:val="18"/>
                <w:szCs w:val="18"/>
              </w:rPr>
              <w:t xml:space="preserve"> : couleurs douces, typographie soignée, grilles discrètes, aucun réglage nécessaire pour un rendu propre.</w:t>
            </w:r>
          </w:p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Panneau latéral court, organisé par axe ; le graphique se met à jour instantanément.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Airtable — Interface Designer, mise en page « Dashboard »</w:t>
      </w:r>
    </w:p>
    <w:p>
      <w:pPr>
        <w:spacing w:after="120" w:line="276"/>
      </w:pPr>
      <w:r>
        <w:t xml:space="preserve">Airtable propose dans son Interface Designer une mise en page </w:t>
      </w:r>
      <w:r>
        <w:rPr>
          <w:b/>
          <w:bCs/>
        </w:rPr>
        <w:t xml:space="preserve">Dashboard</w:t>
      </w:r>
      <w:r>
        <w:t xml:space="preserve"> fondée sur des éléments : nombres (KPI), graphiques (barres, lignes, secteurs, donut, nuage), filtres, listes et commentaires. Les KPI peuvent ouvrir les enregistrements sous-jacents.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3362325"/>
            <wp:effectExtent t="0" r="0" b="0" l="0"/>
            <wp:docPr id="1" name="airtable" descr="airtable" title="air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C5B57"/>
          <w:sz w:val="17"/>
          <w:szCs w:val="17"/>
        </w:rPr>
        <w:t xml:space="preserve">Figure 6 — </w:t>
      </w:r>
      <w:r>
        <w:rPr>
          <w:i/>
          <w:iCs/>
          <w:color w:val="5C5B57"/>
          <w:sz w:val="17"/>
          <w:szCs w:val="17"/>
        </w:rPr>
        <w:t xml:space="preserve">Airtable — tableau de bord « Campaign tracker » : (1) filtre déroulant qui pilote toute la page ; (2) KPI en grands chiffres sur fond coloré ; (3) secteurs avec légende latérale ; (4) lignes d’objectif « Goal » et « Stretch » ; (5) commentaires intégrés au tableau de bord.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6B378" w:sz="24"/>
              <w:bottom w:val="none" w:color="FFFFFF" w:sz="0"/>
              <w:right w:val="none" w:color="FFFFFF" w:sz="0"/>
            </w:tcBorders>
            <w:shd w:fill="F0FAF5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E7A54"/>
                <w:sz w:val="19"/>
                <w:szCs w:val="19"/>
              </w:rPr>
              <w:t xml:space="preserve">À retenir d’Airtable</w:t>
            </w:r>
          </w:p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Le </w:t>
            </w:r>
            <w:r>
              <w:rPr>
                <w:b/>
                <w:bCs/>
                <w:sz w:val="18"/>
                <w:szCs w:val="18"/>
              </w:rPr>
              <w:t xml:space="preserve">KPI est un objet de premier rang</w:t>
            </w:r>
            <w:r>
              <w:rPr>
                <w:sz w:val="18"/>
                <w:szCs w:val="18"/>
              </w:rPr>
              <w:t xml:space="preserve">, placé en haut et mis en valeur.</w:t>
            </w:r>
          </w:p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Les </w:t>
            </w:r>
            <w:r>
              <w:rPr>
                <w:b/>
                <w:bCs/>
                <w:sz w:val="18"/>
                <w:szCs w:val="18"/>
              </w:rPr>
              <w:t xml:space="preserve">lignes d’objectif</w:t>
            </w:r>
            <w:r>
              <w:rPr>
                <w:sz w:val="18"/>
                <w:szCs w:val="18"/>
              </w:rPr>
              <w:t xml:space="preserve"> et le </w:t>
            </w:r>
            <w:r>
              <w:rPr>
                <w:b/>
                <w:bCs/>
                <w:sz w:val="18"/>
                <w:szCs w:val="18"/>
              </w:rPr>
              <w:t xml:space="preserve">filtre de page</w:t>
            </w:r>
            <w:r>
              <w:rPr>
                <w:sz w:val="18"/>
                <w:szCs w:val="18"/>
              </w:rPr>
              <w:t xml:space="preserve"> sont des fonctions simples à forte valeur pour les décideurs.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NocoDB — Dashboards (bêta, 2025)</w:t>
      </w:r>
    </w:p>
    <w:p>
      <w:pPr>
        <w:spacing w:after="120" w:line="276"/>
      </w:pPr>
      <w:r>
        <w:t xml:space="preserve">NocoDB a lancé ses </w:t>
      </w:r>
      <w:r>
        <w:rPr>
          <w:b/>
          <w:bCs/>
        </w:rPr>
        <w:t xml:space="preserve">Dashboards</w:t>
      </w:r>
      <w:r>
        <w:t xml:space="preserve"> en juillet 2025 (version 2025.07.0, en bêta sur les offres Plus et Business) : widgets Nombre, Barres, Lignes, Secteurs, Donut, Texte et iFrame, disposés par glisser-déposer, partageables par lien public ou protégé par mot de passe.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762500" cy="2352675"/>
            <wp:effectExtent t="0" r="0" b="0" l="0"/>
            <wp:docPr id="1" name="nocodb_view" descr="nocodb_view" title="nocodb_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C5B57"/>
          <w:sz w:val="17"/>
          <w:szCs w:val="17"/>
        </w:rPr>
        <w:t xml:space="preserve">Figure 7 — </w:t>
      </w:r>
      <w:r>
        <w:rPr>
          <w:i/>
          <w:iCs/>
          <w:color w:val="5C5B57"/>
          <w:sz w:val="17"/>
          <w:szCs w:val="17"/>
        </w:rPr>
        <w:t xml:space="preserve">NocoDB — rendu d’un tableau de bord : quatre KPI monétaires et un camembert avec infobulle.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3209925"/>
            <wp:effectExtent t="0" r="0" b="0" l="0"/>
            <wp:docPr id="1" name="nocodb_edit" descr="nocodb_edit" title="nocodb_e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C5B57"/>
          <w:sz w:val="17"/>
          <w:szCs w:val="17"/>
        </w:rPr>
        <w:t xml:space="preserve">Figure 8 — </w:t>
      </w:r>
      <w:r>
        <w:rPr>
          <w:i/>
          <w:iCs/>
          <w:color w:val="5C5B57"/>
          <w:sz w:val="17"/>
          <w:szCs w:val="17"/>
        </w:rPr>
        <w:t xml:space="preserve">NocoDB — mode édition (annotations de l’éditeur) : (1) bandeau « You are now editing this dashboard », (2) barre d’ajout de widgets, (3) canevas en grille, (4) panneau de configuration Données / Apparence (titre, source, filtre d’enregistrements, agrégation).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6B378" w:sz="24"/>
              <w:bottom w:val="none" w:color="FFFFFF" w:sz="0"/>
              <w:right w:val="none" w:color="FFFFFF" w:sz="0"/>
            </w:tcBorders>
            <w:shd w:fill="F0FAF5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E7A54"/>
                <w:sz w:val="19"/>
                <w:szCs w:val="19"/>
              </w:rPr>
              <w:t xml:space="preserve">À retenir de NocoDB</w:t>
            </w:r>
          </w:p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Le modèle </w:t>
            </w:r>
            <w:r>
              <w:rPr>
                <w:b/>
                <w:bCs/>
                <w:sz w:val="18"/>
                <w:szCs w:val="18"/>
              </w:rPr>
              <w:t xml:space="preserve">« bandeau d’édition + barre d’ajout + canevas + panneau latéral »</w:t>
            </w:r>
            <w:r>
              <w:rPr>
                <w:sz w:val="18"/>
                <w:szCs w:val="18"/>
              </w:rPr>
              <w:t xml:space="preserve"> est simple et immédiatement compréhensible.</w:t>
            </w:r>
          </w:p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Point faible : rendu encore basique (palette vive, peu d’options d’axes), ce que l’usage d’ECharts permet de dépasser.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Metabase — référence visuelle et de paramétrage</w:t>
      </w:r>
    </w:p>
    <w:p>
      <w:pPr>
        <w:spacing w:after="120" w:line="276"/>
      </w:pPr>
      <w:r>
        <w:t xml:space="preserve">Metabase n’est pas un outil de gestion de données mais un outil de BI open source. Il est retenu comme </w:t>
      </w:r>
      <w:r>
        <w:rPr>
          <w:b/>
          <w:bCs/>
        </w:rPr>
        <w:t xml:space="preserve">référence de qualité</w:t>
      </w:r>
      <w:r>
        <w:t xml:space="preserve"> : ses graphiques sont rendus avec Apache ECharts (dépendance </w:t>
      </w:r>
      <w:r>
        <w:rPr>
          <w:rFonts w:ascii="Consolas" w:cs="Consolas" w:eastAsia="Consolas" w:hAnsi="Consolas"/>
          <w:color w:val="0E7A54"/>
          <w:sz w:val="18"/>
          <w:szCs w:val="18"/>
        </w:rPr>
        <w:t xml:space="preserve">echarts</w:t>
      </w:r>
      <w:r>
        <w:t xml:space="preserve"> 6.1 dans le dépôt officiel), son panneau de réglages est éprouvé par des millions d’utilisateurs et ses tableaux de bord combinent onglets, filtres, sections de texte et KPI comparatifs.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286250" cy="3648075"/>
            <wp:effectExtent t="0" r="0" b="0" l="0"/>
            <wp:docPr id="1" name="metabase_dash" descr="metabase_dash" title="metabase_d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C5B57"/>
          <w:sz w:val="17"/>
          <w:szCs w:val="17"/>
        </w:rPr>
        <w:t xml:space="preserve">Figure 9 — </w:t>
      </w:r>
      <w:r>
        <w:rPr>
          <w:i/>
          <w:iCs/>
          <w:color w:val="5C5B57"/>
          <w:sz w:val="17"/>
          <w:szCs w:val="17"/>
        </w:rPr>
        <w:t xml:space="preserve">Metabase — tableau de bord : (1) onglets, (2) filtres globaux de période et de granularité, (3) titre de section et texte d’analyse, (4) KPI avec comparaison à la période précédente, (5) progression vers un objectif, (6) filtre propre à une tuile, (7) donut avec total central.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352800"/>
            <wp:effectExtent t="0" r="0" b="0" l="0"/>
            <wp:docPr id="1" name="metabase_gallery" descr="metabase_gallery" title="metabase_gall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C5B57"/>
          <w:sz w:val="17"/>
          <w:szCs w:val="17"/>
        </w:rPr>
        <w:t xml:space="preserve">Figure 10 — </w:t>
      </w:r>
      <w:r>
        <w:rPr>
          <w:i/>
          <w:iCs/>
          <w:color w:val="5C5B57"/>
          <w:sz w:val="17"/>
          <w:szCs w:val="17"/>
        </w:rPr>
        <w:t xml:space="preserve">Metabase — échantillon du catalogue de visualisations, toutes rendues avec ECharts.</w:t>
      </w:r>
    </w:p>
    <w:p>
      <w:pPr>
        <w:pStyle w:val="Heading2"/>
      </w:pPr>
      <w:r>
        <w:t xml:space="preserve">3.5 Grille comparative</w:t>
      </w:r>
    </w:p>
    <w:p>
      <w:pPr>
        <w:spacing w:after="120" w:line="276"/>
      </w:pPr>
      <w:r>
        <w:t xml:space="preserve">Légende : ● complet · ◐ partiel · ○ absent. La dernière colonne indique la cible du présent cahier des charges.</w:t>
      </w:r>
    </w:p>
    <w:p>
      <w:pPr>
        <w:keepNext/>
        <w:spacing w:after="80" w:before="120"/>
      </w:pPr>
      <w:r>
        <w:rPr>
          <w:b/>
          <w:bCs/>
          <w:color w:val="5C5B57"/>
          <w:sz w:val="17"/>
          <w:szCs w:val="17"/>
        </w:rPr>
        <w:t xml:space="preserve">Tableau 1 — </w:t>
      </w:r>
      <w:r>
        <w:rPr>
          <w:i/>
          <w:iCs/>
          <w:color w:val="5C5B57"/>
          <w:sz w:val="17"/>
          <w:szCs w:val="17"/>
        </w:rPr>
        <w:t xml:space="preserve">Comparaison fonctionnelle des solutions étudiées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8"/>
        <w:gridCol w:w="1152"/>
        <w:gridCol w:w="1048"/>
        <w:gridCol w:w="1048"/>
        <w:gridCol w:w="1048"/>
        <w:gridCol w:w="1152"/>
        <w:gridCol w:w="1152"/>
      </w:tblGrid>
      <w:tr>
        <w:trPr>
          <w:tblHeader/>
        </w:trPr>
        <w:tc>
          <w:tcPr>
            <w:tcW w:type="dxa" w:w="303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6"/>
                <w:szCs w:val="16"/>
              </w:rPr>
              <w:t xml:space="preserve">Critère</w:t>
            </w:r>
          </w:p>
        </w:tc>
        <w:tc>
          <w:tcPr>
            <w:tcW w:type="dxa" w:w="115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6"/>
                <w:szCs w:val="16"/>
              </w:rPr>
              <w:t xml:space="preserve">Grist actuel</w:t>
            </w:r>
          </w:p>
        </w:tc>
        <w:tc>
          <w:tcPr>
            <w:tcW w:type="dxa" w:w="1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6"/>
                <w:szCs w:val="16"/>
              </w:rPr>
              <w:t xml:space="preserve">Notion</w:t>
            </w:r>
          </w:p>
        </w:tc>
        <w:tc>
          <w:tcPr>
            <w:tcW w:type="dxa" w:w="1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6"/>
                <w:szCs w:val="16"/>
              </w:rPr>
              <w:t xml:space="preserve">Airtable</w:t>
            </w:r>
          </w:p>
        </w:tc>
        <w:tc>
          <w:tcPr>
            <w:tcW w:type="dxa" w:w="1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6"/>
                <w:szCs w:val="16"/>
              </w:rPr>
              <w:t xml:space="preserve">NocoDB</w:t>
            </w:r>
          </w:p>
        </w:tc>
        <w:tc>
          <w:tcPr>
            <w:tcW w:type="dxa" w:w="115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6"/>
                <w:szCs w:val="16"/>
              </w:rPr>
              <w:t xml:space="preserve">Metabase</w:t>
            </w:r>
          </w:p>
        </w:tc>
        <w:tc>
          <w:tcPr>
            <w:tcW w:type="dxa" w:w="115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6"/>
                <w:szCs w:val="16"/>
              </w:rPr>
              <w:t xml:space="preserve">Cible Grist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Tableau de bord multi-tuiles</w:t>
            </w:r>
          </w:p>
        </w:tc>
        <w:tc>
          <w:tcPr>
            <w:tcW w:type="dxa" w:w="115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○</w:t>
            </w:r>
          </w:p>
        </w:tc>
        <w:tc>
          <w:tcPr>
            <w:tcW w:type="dxa" w:w="1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●</w:t>
            </w:r>
          </w:p>
        </w:tc>
        <w:tc>
          <w:tcPr>
            <w:tcW w:type="dxa" w:w="1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●</w:t>
            </w:r>
          </w:p>
        </w:tc>
        <w:tc>
          <w:tcPr>
            <w:tcW w:type="dxa" w:w="1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●</w:t>
            </w:r>
          </w:p>
        </w:tc>
        <w:tc>
          <w:tcPr>
            <w:tcW w:type="dxa" w:w="115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●</w:t>
            </w:r>
          </w:p>
        </w:tc>
        <w:tc>
          <w:tcPr>
            <w:tcW w:type="dxa" w:w="115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KPI / grand nombre</w:t>
            </w:r>
          </w:p>
        </w:tc>
        <w:tc>
          <w:tcPr>
            <w:tcW w:type="dxa" w:w="115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○</w:t>
            </w:r>
          </w:p>
        </w:tc>
        <w:tc>
          <w:tcPr>
            <w:tcW w:type="dxa" w:w="1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◐</w:t>
            </w:r>
          </w:p>
        </w:tc>
        <w:tc>
          <w:tcPr>
            <w:tcW w:type="dxa" w:w="1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●</w:t>
            </w:r>
          </w:p>
        </w:tc>
        <w:tc>
          <w:tcPr>
            <w:tcW w:type="dxa" w:w="1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●</w:t>
            </w:r>
          </w:p>
        </w:tc>
        <w:tc>
          <w:tcPr>
            <w:tcW w:type="dxa" w:w="115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●</w:t>
            </w:r>
          </w:p>
        </w:tc>
        <w:tc>
          <w:tcPr>
            <w:tcW w:type="dxa" w:w="115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Comparaison à la période précédente</w:t>
            </w:r>
          </w:p>
        </w:tc>
        <w:tc>
          <w:tcPr>
            <w:tcW w:type="dxa" w:w="115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○</w:t>
            </w:r>
          </w:p>
        </w:tc>
        <w:tc>
          <w:tcPr>
            <w:tcW w:type="dxa" w:w="1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○</w:t>
            </w:r>
          </w:p>
        </w:tc>
        <w:tc>
          <w:tcPr>
            <w:tcW w:type="dxa" w:w="1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○</w:t>
            </w:r>
          </w:p>
        </w:tc>
        <w:tc>
          <w:tcPr>
            <w:tcW w:type="dxa" w:w="1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○</w:t>
            </w:r>
          </w:p>
        </w:tc>
        <w:tc>
          <w:tcPr>
            <w:tcW w:type="dxa" w:w="115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●</w:t>
            </w:r>
          </w:p>
        </w:tc>
        <w:tc>
          <w:tcPr>
            <w:tcW w:type="dxa" w:w="115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Filtres globaux</w:t>
            </w:r>
          </w:p>
        </w:tc>
        <w:tc>
          <w:tcPr>
            <w:tcW w:type="dxa" w:w="115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○</w:t>
            </w:r>
          </w:p>
        </w:tc>
        <w:tc>
          <w:tcPr>
            <w:tcW w:type="dxa" w:w="1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●</w:t>
            </w:r>
          </w:p>
        </w:tc>
        <w:tc>
          <w:tcPr>
            <w:tcW w:type="dxa" w:w="1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●</w:t>
            </w:r>
          </w:p>
        </w:tc>
        <w:tc>
          <w:tcPr>
            <w:tcW w:type="dxa" w:w="1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◐</w:t>
            </w:r>
          </w:p>
        </w:tc>
        <w:tc>
          <w:tcPr>
            <w:tcW w:type="dxa" w:w="115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●</w:t>
            </w:r>
          </w:p>
        </w:tc>
        <w:tc>
          <w:tcPr>
            <w:tcW w:type="dxa" w:w="115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Nombre de types de graphiques</w:t>
            </w:r>
          </w:p>
        </w:tc>
        <w:tc>
          <w:tcPr>
            <w:tcW w:type="dxa" w:w="115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7</w:t>
            </w:r>
          </w:p>
        </w:tc>
        <w:tc>
          <w:tcPr>
            <w:tcW w:type="dxa" w:w="1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4</w:t>
            </w:r>
          </w:p>
        </w:tc>
        <w:tc>
          <w:tcPr>
            <w:tcW w:type="dxa" w:w="1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5</w:t>
            </w:r>
          </w:p>
        </w:tc>
        <w:tc>
          <w:tcPr>
            <w:tcW w:type="dxa" w:w="1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5</w:t>
            </w:r>
          </w:p>
        </w:tc>
        <w:tc>
          <w:tcPr>
            <w:tcW w:type="dxa" w:w="115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20+</w:t>
            </w:r>
          </w:p>
        </w:tc>
        <w:tc>
          <w:tcPr>
            <w:tcW w:type="dxa" w:w="115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Agrégation choisie dans le graphique</w:t>
            </w:r>
          </w:p>
        </w:tc>
        <w:tc>
          <w:tcPr>
            <w:tcW w:type="dxa" w:w="115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○</w:t>
            </w:r>
          </w:p>
        </w:tc>
        <w:tc>
          <w:tcPr>
            <w:tcW w:type="dxa" w:w="1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●</w:t>
            </w:r>
          </w:p>
        </w:tc>
        <w:tc>
          <w:tcPr>
            <w:tcW w:type="dxa" w:w="1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●</w:t>
            </w:r>
          </w:p>
        </w:tc>
        <w:tc>
          <w:tcPr>
            <w:tcW w:type="dxa" w:w="1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●</w:t>
            </w:r>
          </w:p>
        </w:tc>
        <w:tc>
          <w:tcPr>
            <w:tcW w:type="dxa" w:w="115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●</w:t>
            </w:r>
          </w:p>
        </w:tc>
        <w:tc>
          <w:tcPr>
            <w:tcW w:type="dxa" w:w="115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Ligne d’objectif, étiquettes de valeur</w:t>
            </w:r>
          </w:p>
        </w:tc>
        <w:tc>
          <w:tcPr>
            <w:tcW w:type="dxa" w:w="115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○</w:t>
            </w:r>
          </w:p>
        </w:tc>
        <w:tc>
          <w:tcPr>
            <w:tcW w:type="dxa" w:w="1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◐</w:t>
            </w:r>
          </w:p>
        </w:tc>
        <w:tc>
          <w:tcPr>
            <w:tcW w:type="dxa" w:w="1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●</w:t>
            </w:r>
          </w:p>
        </w:tc>
        <w:tc>
          <w:tcPr>
            <w:tcW w:type="dxa" w:w="1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○</w:t>
            </w:r>
          </w:p>
        </w:tc>
        <w:tc>
          <w:tcPr>
            <w:tcW w:type="dxa" w:w="115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●</w:t>
            </w:r>
          </w:p>
        </w:tc>
        <w:tc>
          <w:tcPr>
            <w:tcW w:type="dxa" w:w="115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Palette et thème personnalisables</w:t>
            </w:r>
          </w:p>
        </w:tc>
        <w:tc>
          <w:tcPr>
            <w:tcW w:type="dxa" w:w="115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○</w:t>
            </w:r>
          </w:p>
        </w:tc>
        <w:tc>
          <w:tcPr>
            <w:tcW w:type="dxa" w:w="1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◐</w:t>
            </w:r>
          </w:p>
        </w:tc>
        <w:tc>
          <w:tcPr>
            <w:tcW w:type="dxa" w:w="1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◐</w:t>
            </w:r>
          </w:p>
        </w:tc>
        <w:tc>
          <w:tcPr>
            <w:tcW w:type="dxa" w:w="1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◐</w:t>
            </w:r>
          </w:p>
        </w:tc>
        <w:tc>
          <w:tcPr>
            <w:tcW w:type="dxa" w:w="115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●</w:t>
            </w:r>
          </w:p>
        </w:tc>
        <w:tc>
          <w:tcPr>
            <w:tcW w:type="dxa" w:w="115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Mode sombre cohérent</w:t>
            </w:r>
          </w:p>
        </w:tc>
        <w:tc>
          <w:tcPr>
            <w:tcW w:type="dxa" w:w="115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◐</w:t>
            </w:r>
          </w:p>
        </w:tc>
        <w:tc>
          <w:tcPr>
            <w:tcW w:type="dxa" w:w="1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●</w:t>
            </w:r>
          </w:p>
        </w:tc>
        <w:tc>
          <w:tcPr>
            <w:tcW w:type="dxa" w:w="1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○</w:t>
            </w:r>
          </w:p>
        </w:tc>
        <w:tc>
          <w:tcPr>
            <w:tcW w:type="dxa" w:w="1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◐</w:t>
            </w:r>
          </w:p>
        </w:tc>
        <w:tc>
          <w:tcPr>
            <w:tcW w:type="dxa" w:w="115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●</w:t>
            </w:r>
          </w:p>
        </w:tc>
        <w:tc>
          <w:tcPr>
            <w:tcW w:type="dxa" w:w="115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Clic → enregistrements sous-jacents</w:t>
            </w:r>
          </w:p>
        </w:tc>
        <w:tc>
          <w:tcPr>
            <w:tcW w:type="dxa" w:w="115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◐</w:t>
            </w:r>
          </w:p>
        </w:tc>
        <w:tc>
          <w:tcPr>
            <w:tcW w:type="dxa" w:w="1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○</w:t>
            </w:r>
          </w:p>
        </w:tc>
        <w:tc>
          <w:tcPr>
            <w:tcW w:type="dxa" w:w="1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●</w:t>
            </w:r>
          </w:p>
        </w:tc>
        <w:tc>
          <w:tcPr>
            <w:tcW w:type="dxa" w:w="1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○</w:t>
            </w:r>
          </w:p>
        </w:tc>
        <w:tc>
          <w:tcPr>
            <w:tcW w:type="dxa" w:w="115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●</w:t>
            </w:r>
          </w:p>
        </w:tc>
        <w:tc>
          <w:tcPr>
            <w:tcW w:type="dxa" w:w="115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Export image / données</w:t>
            </w:r>
          </w:p>
        </w:tc>
        <w:tc>
          <w:tcPr>
            <w:tcW w:type="dxa" w:w="115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○</w:t>
            </w:r>
          </w:p>
        </w:tc>
        <w:tc>
          <w:tcPr>
            <w:tcW w:type="dxa" w:w="1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○</w:t>
            </w:r>
          </w:p>
        </w:tc>
        <w:tc>
          <w:tcPr>
            <w:tcW w:type="dxa" w:w="1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○</w:t>
            </w:r>
          </w:p>
        </w:tc>
        <w:tc>
          <w:tcPr>
            <w:tcW w:type="dxa" w:w="1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○</w:t>
            </w:r>
          </w:p>
        </w:tc>
        <w:tc>
          <w:tcPr>
            <w:tcW w:type="dxa" w:w="115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●</w:t>
            </w:r>
          </w:p>
        </w:tc>
        <w:tc>
          <w:tcPr>
            <w:tcW w:type="dxa" w:w="115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Open source / auto-hébergeable</w:t>
            </w:r>
          </w:p>
        </w:tc>
        <w:tc>
          <w:tcPr>
            <w:tcW w:type="dxa" w:w="115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●</w:t>
            </w:r>
          </w:p>
        </w:tc>
        <w:tc>
          <w:tcPr>
            <w:tcW w:type="dxa" w:w="1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○</w:t>
            </w:r>
          </w:p>
        </w:tc>
        <w:tc>
          <w:tcPr>
            <w:tcW w:type="dxa" w:w="1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○</w:t>
            </w:r>
          </w:p>
        </w:tc>
        <w:tc>
          <w:tcPr>
            <w:tcW w:type="dxa" w:w="1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●</w:t>
            </w:r>
          </w:p>
        </w:tc>
        <w:tc>
          <w:tcPr>
            <w:tcW w:type="dxa" w:w="115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●</w:t>
            </w:r>
          </w:p>
        </w:tc>
        <w:tc>
          <w:tcPr>
            <w:tcW w:type="dxa" w:w="115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●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3.6 Enseignements pour le design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Hiérarchie fixe</w:t>
      </w:r>
      <w:r>
        <w:t xml:space="preserve"> : titre et filtres → rangée de KPI → graphiques principaux → détail (tableau). Tous les outils convergent vers ce schéma.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Valeurs par défaut soignées plutôt qu’options nombreuses</w:t>
      </w:r>
      <w:r>
        <w:t xml:space="preserve"> (Notion) ; les options avancées restent accessibles mais repliées (Metabase).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Édition en contexte</w:t>
      </w:r>
      <w:r>
        <w:t xml:space="preserve"> : bandeau d’édition, tuile sélectionnée surlignée, panneau latéral à onglets (NocoDB, Metabase).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Sobriété graphique</w:t>
      </w:r>
      <w:r>
        <w:t xml:space="preserve"> : grilles très claires, pas de bordures d’axes, barres à coins arrondis, légende en pastilles, infobulles formatées.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Lien avec les données</w:t>
      </w:r>
      <w:r>
        <w:t xml:space="preserve"> : un clic sur un élément doit mener aux lignes concernées — c’est ce qui différencie un outil de gestion de données d’un simple générateur d’images.</w:t>
      </w:r>
    </w:p>
    <w:p>
      <w:pPr>
        <w:pStyle w:val="Heading1"/>
        <w:spacing w:after="200" w:before="400"/>
      </w:pPr>
      <w:r>
        <w:t xml:space="preserve">4. Choix technologique : Apache ECharts</w:t>
      </w:r>
    </w:p>
    <w:p>
      <w:pPr>
        <w:pStyle w:val="Heading2"/>
      </w:pPr>
      <w:r>
        <w:t xml:space="preserve">4.1 Comparatif des librairies</w:t>
      </w:r>
    </w:p>
    <w:p>
      <w:pPr>
        <w:keepNext/>
        <w:spacing w:after="80" w:before="120"/>
      </w:pPr>
      <w:r>
        <w:rPr>
          <w:b/>
          <w:bCs/>
          <w:color w:val="5C5B57"/>
          <w:sz w:val="17"/>
          <w:szCs w:val="17"/>
        </w:rPr>
        <w:t xml:space="preserve">Tableau 2 — </w:t>
      </w:r>
      <w:r>
        <w:rPr>
          <w:i/>
          <w:iCs/>
          <w:color w:val="5C5B57"/>
          <w:sz w:val="17"/>
          <w:szCs w:val="17"/>
        </w:rPr>
        <w:t xml:space="preserve">Comparaison des principales librairies JavaScript de visualisation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6"/>
        <w:gridCol w:w="2051"/>
        <w:gridCol w:w="1538"/>
        <w:gridCol w:w="1435"/>
        <w:gridCol w:w="1435"/>
        <w:gridCol w:w="1333"/>
      </w:tblGrid>
      <w:tr>
        <w:trPr>
          <w:tblHeader/>
        </w:trPr>
        <w:tc>
          <w:tcPr>
            <w:tcW w:type="dxa" w:w="184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5"/>
                <w:szCs w:val="15"/>
              </w:rPr>
              <w:t xml:space="preserve">Critère</w:t>
            </w:r>
          </w:p>
        </w:tc>
        <w:tc>
          <w:tcPr>
            <w:tcW w:type="dxa" w:w="205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5"/>
                <w:szCs w:val="15"/>
              </w:rPr>
              <w:t xml:space="preserve">ECharts 6</w:t>
            </w:r>
          </w:p>
        </w:tc>
        <w:tc>
          <w:tcPr>
            <w:tcW w:type="dxa" w:w="153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5"/>
                <w:szCs w:val="15"/>
              </w:rPr>
              <w:t xml:space="preserve">Plotly.js (actuel)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5"/>
                <w:szCs w:val="15"/>
              </w:rPr>
              <w:t xml:space="preserve">Chart.js 4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5"/>
                <w:szCs w:val="15"/>
              </w:rPr>
              <w:t xml:space="preserve">Vega-Lite 5</w:t>
            </w:r>
          </w:p>
        </w:tc>
        <w:tc>
          <w:tcPr>
            <w:tcW w:type="dxa" w:w="13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5"/>
                <w:szCs w:val="15"/>
              </w:rPr>
              <w:t xml:space="preserve">Highcharts</w:t>
            </w:r>
          </w:p>
        </w:tc>
      </w:tr>
      <w:tr>
        <w:trPr>
          <w:cantSplit/>
        </w:trPr>
        <w:tc>
          <w:tcPr>
            <w:tcW w:type="dxa" w:w="184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Licence</w:t>
            </w:r>
          </w:p>
        </w:tc>
        <w:tc>
          <w:tcPr>
            <w:tcW w:type="dxa" w:w="205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Apache 2.0</w:t>
            </w:r>
          </w:p>
        </w:tc>
        <w:tc>
          <w:tcPr>
            <w:tcW w:type="dxa" w:w="153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MIT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MIT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BSD-3</w:t>
            </w:r>
          </w:p>
        </w:tc>
        <w:tc>
          <w:tcPr>
            <w:tcW w:type="dxa" w:w="13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Commerciale</w:t>
            </w:r>
          </w:p>
        </w:tc>
      </w:tr>
      <w:tr>
        <w:trPr>
          <w:cantSplit/>
        </w:trPr>
        <w:tc>
          <w:tcPr>
            <w:tcW w:type="dxa" w:w="184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Types de graphiques</w:t>
            </w:r>
          </w:p>
        </w:tc>
        <w:tc>
          <w:tcPr>
            <w:tcW w:type="dxa" w:w="205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40+ (dont Sankey, treemap, sunburst, jauge, carte, calendrier)</w:t>
            </w:r>
          </w:p>
        </w:tc>
        <w:tc>
          <w:tcPr>
            <w:tcW w:type="dxa" w:w="153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40+ (orienté scientifique)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8 de base + extensions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Grammaire, très large</w:t>
            </w:r>
          </w:p>
        </w:tc>
        <w:tc>
          <w:tcPr>
            <w:tcW w:type="dxa" w:w="13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40+</w:t>
            </w:r>
          </w:p>
        </w:tc>
      </w:tr>
      <w:tr>
        <w:trPr>
          <w:cantSplit/>
        </w:trPr>
        <w:tc>
          <w:tcPr>
            <w:tcW w:type="dxa" w:w="184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Qualité du rendu par défaut</w:t>
            </w:r>
          </w:p>
        </w:tc>
        <w:tc>
          <w:tcPr>
            <w:tcW w:type="dxa" w:w="205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Très bonne, moderne</w:t>
            </w:r>
          </w:p>
        </w:tc>
        <w:tc>
          <w:tcPr>
            <w:tcW w:type="dxa" w:w="153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Datée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Bonne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Sobre</w:t>
            </w:r>
          </w:p>
        </w:tc>
        <w:tc>
          <w:tcPr>
            <w:tcW w:type="dxa" w:w="13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Très bonne</w:t>
            </w:r>
          </w:p>
        </w:tc>
      </w:tr>
      <w:tr>
        <w:trPr>
          <w:cantSplit/>
        </w:trPr>
        <w:tc>
          <w:tcPr>
            <w:tcW w:type="dxa" w:w="184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Performances</w:t>
            </w:r>
          </w:p>
        </w:tc>
        <w:tc>
          <w:tcPr>
            <w:tcW w:type="dxa" w:w="205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Canvas ou SVG, échantillonnage, 100 k+ points</w:t>
            </w:r>
          </w:p>
        </w:tc>
        <w:tc>
          <w:tcPr>
            <w:tcW w:type="dxa" w:w="153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Bonne (WebGL)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Canvas, moyenne au-delà de 10 k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Moyenne</w:t>
            </w:r>
          </w:p>
        </w:tc>
        <w:tc>
          <w:tcPr>
            <w:tcW w:type="dxa" w:w="13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Bonne</w:t>
            </w:r>
          </w:p>
        </w:tc>
      </w:tr>
      <w:tr>
        <w:trPr>
          <w:cantSplit/>
        </w:trPr>
        <w:tc>
          <w:tcPr>
            <w:tcW w:type="dxa" w:w="184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Thèmes et mode sombre</w:t>
            </w:r>
          </w:p>
        </w:tc>
        <w:tc>
          <w:tcPr>
            <w:tcW w:type="dxa" w:w="205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Thèmes JSON, dark natif</w:t>
            </w:r>
          </w:p>
        </w:tc>
        <w:tc>
          <w:tcPr>
            <w:tcW w:type="dxa" w:w="153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Templates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Manuel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Config</w:t>
            </w:r>
          </w:p>
        </w:tc>
        <w:tc>
          <w:tcPr>
            <w:tcW w:type="dxa" w:w="13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Thèmes</w:t>
            </w:r>
          </w:p>
        </w:tc>
      </w:tr>
      <w:tr>
        <w:trPr>
          <w:cantSplit/>
        </w:trPr>
        <w:tc>
          <w:tcPr>
            <w:tcW w:type="dxa" w:w="184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Accessibilité</w:t>
            </w:r>
          </w:p>
        </w:tc>
        <w:tc>
          <w:tcPr>
            <w:tcW w:type="dxa" w:w="205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ARIA + motifs (decal)</w:t>
            </w:r>
          </w:p>
        </w:tc>
        <w:tc>
          <w:tcPr>
            <w:tcW w:type="dxa" w:w="153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Partielle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Partielle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Partielle</w:t>
            </w:r>
          </w:p>
        </w:tc>
        <w:tc>
          <w:tcPr>
            <w:tcW w:type="dxa" w:w="13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Module dédié</w:t>
            </w:r>
          </w:p>
        </w:tc>
      </w:tr>
      <w:tr>
        <w:trPr>
          <w:cantSplit/>
        </w:trPr>
        <w:tc>
          <w:tcPr>
            <w:tcW w:type="dxa" w:w="184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Localisation FR</w:t>
            </w:r>
          </w:p>
        </w:tc>
        <w:tc>
          <w:tcPr>
            <w:tcW w:type="dxa" w:w="205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Native (fr)</w:t>
            </w:r>
          </w:p>
        </w:tc>
        <w:tc>
          <w:tcPr>
            <w:tcW w:type="dxa" w:w="153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Locale à charger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Via Intl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Via format</w:t>
            </w:r>
          </w:p>
        </w:tc>
        <w:tc>
          <w:tcPr>
            <w:tcW w:type="dxa" w:w="13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Native</w:t>
            </w:r>
          </w:p>
        </w:tc>
      </w:tr>
      <w:tr>
        <w:trPr>
          <w:cantSplit/>
        </w:trPr>
        <w:tc>
          <w:tcPr>
            <w:tcW w:type="dxa" w:w="184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Taille (min+gz)</w:t>
            </w:r>
          </w:p>
        </w:tc>
        <w:tc>
          <w:tcPr>
            <w:tcW w:type="dxa" w:w="205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≈ 350 Ko, ou moins par import modulaire</w:t>
            </w:r>
          </w:p>
        </w:tc>
        <w:tc>
          <w:tcPr>
            <w:tcW w:type="dxa" w:w="153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≈ 1 Mo (basic ≈ 300 Ko)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≈ 70 Ko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≈ 400 Ko</w:t>
            </w:r>
          </w:p>
        </w:tc>
        <w:tc>
          <w:tcPr>
            <w:tcW w:type="dxa" w:w="13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≈ 120 Ko+</w:t>
            </w:r>
          </w:p>
        </w:tc>
      </w:tr>
      <w:tr>
        <w:trPr>
          <w:cantSplit/>
        </w:trPr>
        <w:tc>
          <w:tcPr>
            <w:tcW w:type="dxa" w:w="184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Références</w:t>
            </w:r>
          </w:p>
        </w:tc>
        <w:tc>
          <w:tcPr>
            <w:tcW w:type="dxa" w:w="205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Metabase, Apache Superset, Baidu</w:t>
            </w:r>
          </w:p>
        </w:tc>
        <w:tc>
          <w:tcPr>
            <w:tcW w:type="dxa" w:w="153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Grist, Dash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Nombreux SaaS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Observable, Jupyter</w:t>
            </w:r>
          </w:p>
        </w:tc>
        <w:tc>
          <w:tcPr>
            <w:tcW w:type="dxa" w:w="13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Grandes entreprises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Recommandation : Apache ECharts 6.</w:t>
      </w:r>
      <w:r>
        <w:t xml:space="preserve"> C’est la seule option qui combine licence permissive compatible avec grist-core (Apache 2.0), catalogue complet (y compris jauges, Sankey, treemap, calendrier), rendu moderne par défaut, accessibilité intégrée (descriptions ARIA, motifs « decal » pour le daltonisme) et une référence directe dans le même segment (Metabase). Le rendu </w:t>
      </w:r>
      <w:r>
        <w:rPr>
          <w:b/>
          <w:bCs/>
        </w:rPr>
        <w:t xml:space="preserve">SVG</w:t>
      </w:r>
      <w:r>
        <w:t xml:space="preserve"> sera utilisé par défaut (net à l’impression, exportable), le rendu Canvas au-delà de 5 000 points.</w:t>
      </w:r>
    </w:p>
    <w:p>
      <w:pPr>
        <w:spacing w:after="120" w:line="276"/>
      </w:pPr>
      <w:r>
        <w:t xml:space="preserve">Alternatives écartées : Chart.js (catalogue trop limité), Highcharts (licence commerciale incompatible avec la distribution open source), Vega-Lite (excellente grammaire mais paramétrage peu adapté à une interface sans code), Plotly (déjà présent, mais c’est précisément son rendu qui est jugé insuffisant).</w:t>
      </w:r>
    </w:p>
    <w:p>
      <w:pPr>
        <w:pStyle w:val="Heading2"/>
      </w:pPr>
      <w:r>
        <w:t xml:space="preserve">4.2 Preuve de faisabilité : le prototype « Rath »</w:t>
      </w:r>
    </w:p>
    <w:p>
      <w:pPr>
        <w:spacing w:after="120" w:line="276"/>
      </w:pPr>
      <w:r>
        <w:t xml:space="preserve">Un prototype autonome (dépôt </w:t>
      </w:r>
      <w:r>
        <w:rPr>
          <w:rFonts w:ascii="Consolas" w:cs="Consolas" w:eastAsia="Consolas" w:hAnsi="Consolas"/>
          <w:color w:val="0E7A54"/>
          <w:sz w:val="18"/>
          <w:szCs w:val="18"/>
        </w:rPr>
        <w:t xml:space="preserve">Rath</w:t>
      </w:r>
      <w:r>
        <w:t xml:space="preserve">, déployé sur Vercel) reproduit le </w:t>
      </w:r>
      <w:r>
        <w:rPr>
          <w:b/>
          <w:bCs/>
        </w:rPr>
        <w:t xml:space="preserve">module de création de visualisation de Metabase</w:t>
      </w:r>
      <w:r>
        <w:t xml:space="preserve"> sur ECharts 6, React 18 et Mantine : import CSV, étape « Résumer » (agrégation, regroupement, éclatement), sélecteur de 20 types et panneau de réglages à trois onglets. Il démontre que la qualité visuelle de Metabase est atteignable en quelques milliers de lignes de code, sans dépendance à Metabase.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24500" cy="3933825"/>
            <wp:effectExtent t="0" r="0" b="0" l="0"/>
            <wp:docPr id="1" name="rath_gallery" descr="rath_gallery" title="rath_gall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C5B57"/>
          <w:sz w:val="17"/>
          <w:szCs w:val="17"/>
        </w:rPr>
        <w:t xml:space="preserve">Figure 11 — </w:t>
      </w:r>
      <w:r>
        <w:rPr>
          <w:i/>
          <w:iCs/>
          <w:color w:val="5C5B57"/>
          <w:sz w:val="17"/>
          <w:szCs w:val="17"/>
        </w:rPr>
        <w:t xml:space="preserve">Prototype Rath — galerie des graphiques rendus par ECharts (captures de l’application déployée sur rath-rath-client-8vrf.vercel.app).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762500" cy="2981325"/>
            <wp:effectExtent t="0" r="0" b="0" l="0"/>
            <wp:docPr id="1" name="rath_affichage" descr="rath_affichage" title="rath_affich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C5B57"/>
          <w:sz w:val="17"/>
          <w:szCs w:val="17"/>
        </w:rPr>
        <w:t xml:space="preserve">Figure 12 — </w:t>
      </w:r>
      <w:r>
        <w:rPr>
          <w:i/>
          <w:iCs/>
          <w:color w:val="5C5B57"/>
          <w:sz w:val="17"/>
          <w:szCs w:val="17"/>
        </w:rPr>
        <w:t xml:space="preserve">Prototype Rath — panneau « Affichage » : (1) onglets Données / Affichage / Axes, (2) empilement, (3) ligne d’objectif, (4) mise en forme automatique des nombres, (5) courbe de tendance, (6) colonnes d’infobulle, (7) bascule type de graphique / réglages, (8) bascule tableau / graphique.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6B378" w:sz="24"/>
              <w:bottom w:val="none" w:color="FFFFFF" w:sz="0"/>
              <w:right w:val="none" w:color="FFFFFF" w:sz="0"/>
            </w:tcBorders>
            <w:shd w:fill="F0FAF5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E7A54"/>
                <w:sz w:val="19"/>
                <w:szCs w:val="19"/>
              </w:rPr>
              <w:t xml:space="preserve">Ce que le widget Grist réutilise du prototype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0E7A54"/>
                <w:sz w:val="16"/>
                <w:szCs w:val="16"/>
              </w:rPr>
              <w:t xml:space="preserve">viz/frame.ts</w:t>
            </w:r>
            <w:r>
              <w:rPr>
                <w:sz w:val="18"/>
                <w:szCs w:val="18"/>
              </w:rPr>
              <w:t xml:space="preserve"> : pipeline d’agrégation, de tri et d’éclatement (breakout) ;  </w:t>
            </w:r>
            <w:r>
              <w:rPr>
                <w:rFonts w:ascii="Consolas" w:cs="Consolas" w:eastAsia="Consolas" w:hAnsi="Consolas"/>
                <w:color w:val="0E7A54"/>
                <w:sz w:val="16"/>
                <w:szCs w:val="16"/>
              </w:rPr>
              <w:t xml:space="preserve">viz/options/*</w:t>
            </w:r>
            <w:r>
              <w:rPr>
                <w:sz w:val="18"/>
                <w:szCs w:val="18"/>
              </w:rPr>
              <w:t xml:space="preserve"> : constructeurs d’options ECharts par famille (cartésien, secteurs, treemap, Sankey, jauge…).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0E7A54"/>
                <w:sz w:val="16"/>
                <w:szCs w:val="16"/>
              </w:rPr>
              <w:t xml:space="preserve">viz/settings.ts</w:t>
            </w:r>
            <w:r>
              <w:rPr>
                <w:sz w:val="18"/>
                <w:szCs w:val="18"/>
              </w:rPr>
              <w:t xml:space="preserve"> et </w:t>
            </w:r>
            <w:r>
              <w:rPr>
                <w:rFonts w:ascii="Consolas" w:cs="Consolas" w:eastAsia="Consolas" w:hAnsi="Consolas"/>
                <w:color w:val="0E7A54"/>
                <w:sz w:val="16"/>
                <w:szCs w:val="16"/>
              </w:rPr>
              <w:t xml:space="preserve">SettingsPanel.tsx</w:t>
            </w:r>
            <w:r>
              <w:rPr>
                <w:sz w:val="18"/>
                <w:szCs w:val="18"/>
              </w:rPr>
              <w:t xml:space="preserve"> : modèle des réglages et panneau à onglets ;  </w:t>
            </w:r>
            <w:r>
              <w:rPr>
                <w:rFonts w:ascii="Consolas" w:cs="Consolas" w:eastAsia="Consolas" w:hAnsi="Consolas"/>
                <w:color w:val="0E7A54"/>
                <w:sz w:val="16"/>
                <w:szCs w:val="16"/>
              </w:rPr>
              <w:t xml:space="preserve">viz/auto-display.ts</w:t>
            </w:r>
            <w:r>
              <w:rPr>
                <w:sz w:val="18"/>
                <w:szCs w:val="18"/>
              </w:rPr>
              <w:t xml:space="preserve"> : recommandation du type de graphique selon les colonnes.</w:t>
            </w:r>
          </w:p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Adaptations nécessaires : source de données Grist au lieu du CSV, types de colonnes Grist (Référence, Choix, Liste de choix, Date, Numérique avec format), grille de tuiles, filtres globaux.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5. Spécifications fonctionnelles</w:t>
      </w:r>
    </w:p>
    <w:p>
      <w:pPr>
        <w:pStyle w:val="Heading2"/>
      </w:pPr>
      <w:r>
        <w:t xml:space="preserve">5.1 Principe général</w:t>
      </w:r>
    </w:p>
    <w:p>
      <w:pPr>
        <w:spacing w:after="120" w:line="276"/>
      </w:pPr>
      <w:r>
        <w:t xml:space="preserve">Le tableau de bord est </w:t>
      </w:r>
      <w:r>
        <w:rPr>
          <w:b/>
          <w:bCs/>
        </w:rPr>
        <w:t xml:space="preserve">un widget personnalisé Grist</w:t>
      </w:r>
      <w:r>
        <w:t xml:space="preserve"> occupant une section (en pratique, une page entière). Il contient une </w:t>
      </w:r>
      <w:r>
        <w:rPr>
          <w:b/>
          <w:bCs/>
        </w:rPr>
        <w:t xml:space="preserve">grille de tuiles</w:t>
      </w:r>
      <w:r>
        <w:t xml:space="preserve"> ; chaque tuile lit une table du document, applique ses propres agrégations et filtres, puis se rend avec ECharts. La configuration complète est enregistrée dans les options du widget (</w:t>
      </w:r>
      <w:r>
        <w:rPr>
          <w:rFonts w:ascii="Consolas" w:cs="Consolas" w:eastAsia="Consolas" w:hAnsi="Consolas"/>
          <w:color w:val="0E7A54"/>
          <w:sz w:val="18"/>
          <w:szCs w:val="18"/>
        </w:rPr>
        <w:t xml:space="preserve">grist.setOptions</w:t>
      </w:r>
      <w:r>
        <w:t xml:space="preserve">), donc </w:t>
      </w:r>
      <w:r>
        <w:rPr>
          <w:b/>
          <w:bCs/>
        </w:rPr>
        <w:t xml:space="preserve">versionnée avec le document</w:t>
      </w:r>
      <w:r>
        <w:t xml:space="preserve">, copiée avec lui et soumise à l’historique d’annulation.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4276725"/>
            <wp:effectExtent t="0" r="0" b="0" l="0"/>
            <wp:docPr id="1" name="target" descr="target" title="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C5B57"/>
          <w:sz w:val="17"/>
          <w:szCs w:val="17"/>
        </w:rPr>
        <w:t xml:space="preserve">Figure 13 — </w:t>
      </w:r>
      <w:r>
        <w:rPr>
          <w:i/>
          <w:iCs/>
          <w:color w:val="5C5B57"/>
          <w:sz w:val="17"/>
          <w:szCs w:val="17"/>
        </w:rPr>
        <w:t xml:space="preserve">Cible — le widget dans Grist, alimenté par les tables « Projets » et « Demandes » : (1) actions Exporter / Plein écran / Modifier, (2) filtres globaux, (3) rangée de KPI avec tendance et comparaison, (4) ligne d’objectif, (5) total au centre du donut, (6) légende interactive, (7) tableau « Top 5 » avec statuts colorés et barres de progression.</w:t>
      </w:r>
    </w:p>
    <w:p>
      <w:pPr>
        <w:pStyle w:val="Heading2"/>
      </w:pPr>
      <w:r>
        <w:t xml:space="preserve">5.2 Modes lecture et édition</w:t>
      </w:r>
    </w:p>
    <w:p>
      <w:pPr>
        <w:spacing w:after="120" w:line="276"/>
      </w:pPr>
      <w:r>
        <w:t xml:space="preserve">Le widget s’ouvre en </w:t>
      </w:r>
      <w:r>
        <w:rPr>
          <w:b/>
          <w:bCs/>
        </w:rPr>
        <w:t xml:space="preserve">mode lecture</w:t>
      </w:r>
      <w:r>
        <w:t xml:space="preserve">. Les utilisateurs ayant le droit d’éditer le document voient le bouton « Modifier », qui bascule en </w:t>
      </w:r>
      <w:r>
        <w:rPr>
          <w:b/>
          <w:bCs/>
        </w:rPr>
        <w:t xml:space="preserve">mode édition</w:t>
      </w:r>
      <w:r>
        <w:t xml:space="preserve"> ; les autres ne le voient pas. Les modifications ne sont enregistrées qu’au clic sur « Enregistrer » (annulation possible).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4781550"/>
            <wp:effectExtent t="0" r="0" b="0" l="0"/>
            <wp:docPr id="1" name="edit" descr="edit" title="e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C5B57"/>
          <w:sz w:val="17"/>
          <w:szCs w:val="17"/>
        </w:rPr>
        <w:t xml:space="preserve">Figure 14 — </w:t>
      </w:r>
      <w:r>
        <w:rPr>
          <w:i/>
          <w:iCs/>
          <w:color w:val="5C5B57"/>
          <w:sz w:val="17"/>
          <w:szCs w:val="17"/>
        </w:rPr>
        <w:t xml:space="preserve">Mode édition (maquette) — voir la légende ci-dessous.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"/>
        <w:gridCol w:w="9136"/>
      </w:tblGrid>
      <w:tr>
        <w:trPr>
          <w:tblHeader/>
        </w:trPr>
        <w:tc>
          <w:tcPr>
            <w:tcW w:type="dxa" w:w="50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7"/>
                <w:szCs w:val="17"/>
              </w:rPr>
              <w:t xml:space="preserve">#</w:t>
            </w:r>
          </w:p>
        </w:tc>
        <w:tc>
          <w:tcPr>
            <w:tcW w:type="dxa" w:w="913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7"/>
                <w:szCs w:val="17"/>
              </w:rPr>
              <w:t xml:space="preserve">Observation</w:t>
            </w:r>
          </w:p>
        </w:tc>
      </w:tr>
      <w:tr>
        <w:trPr>
          <w:cantSplit/>
        </w:trPr>
        <w:tc>
          <w:tcPr>
            <w:tcW w:type="dxa" w:w="50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1</w:t>
            </w:r>
          </w:p>
        </w:tc>
        <w:tc>
          <w:tcPr>
            <w:tcW w:type="dxa" w:w="913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Bandeau d’édition : rappel des gestes possibles, boutons Annuler / Enregistrer.</w:t>
            </w:r>
          </w:p>
        </w:tc>
      </w:tr>
      <w:tr>
        <w:trPr>
          <w:cantSplit/>
        </w:trPr>
        <w:tc>
          <w:tcPr>
            <w:tcW w:type="dxa" w:w="50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2</w:t>
            </w:r>
          </w:p>
        </w:tc>
        <w:tc>
          <w:tcPr>
            <w:tcW w:type="dxa" w:w="913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Barre d’outils de la tuile sélectionnée : paramètres, dupliquer, voir les données, supprimer.</w:t>
            </w:r>
          </w:p>
        </w:tc>
      </w:tr>
      <w:tr>
        <w:trPr>
          <w:cantSplit/>
        </w:trPr>
        <w:tc>
          <w:tcPr>
            <w:tcW w:type="dxa" w:w="50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3</w:t>
            </w:r>
          </w:p>
        </w:tc>
        <w:tc>
          <w:tcPr>
            <w:tcW w:type="dxa" w:w="913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Poignées de redimensionnement (droite, bas, coin) avec aimantation à la grille de 12 colonnes.</w:t>
            </w:r>
          </w:p>
        </w:tc>
      </w:tr>
      <w:tr>
        <w:trPr>
          <w:cantSplit/>
        </w:trPr>
        <w:tc>
          <w:tcPr>
            <w:tcW w:type="dxa" w:w="50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4</w:t>
            </w:r>
          </w:p>
        </w:tc>
        <w:tc>
          <w:tcPr>
            <w:tcW w:type="dxa" w:w="913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Poignée de déplacement (glisser-déposer) ; les autres tuiles se réorganisent automatiquement.</w:t>
            </w:r>
          </w:p>
        </w:tc>
      </w:tr>
      <w:tr>
        <w:trPr>
          <w:cantSplit/>
        </w:trPr>
        <w:tc>
          <w:tcPr>
            <w:tcW w:type="dxa" w:w="50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5</w:t>
            </w:r>
          </w:p>
        </w:tc>
        <w:tc>
          <w:tcPr>
            <w:tcW w:type="dxa" w:w="913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Panneau de paramètres à quatre onglets : Données, Affichage, Axes, Interactions.</w:t>
            </w:r>
          </w:p>
        </w:tc>
      </w:tr>
      <w:tr>
        <w:trPr>
          <w:cantSplit/>
        </w:trPr>
        <w:tc>
          <w:tcPr>
            <w:tcW w:type="dxa" w:w="50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6</w:t>
            </w:r>
          </w:p>
        </w:tc>
        <w:tc>
          <w:tcPr>
            <w:tcW w:type="dxa" w:w="913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Changement du type de graphique sans perte de la configuration des données.</w:t>
            </w:r>
          </w:p>
        </w:tc>
      </w:tr>
      <w:tr>
        <w:trPr>
          <w:cantSplit/>
        </w:trPr>
        <w:tc>
          <w:tcPr>
            <w:tcW w:type="dxa" w:w="50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7</w:t>
            </w:r>
          </w:p>
        </w:tc>
        <w:tc>
          <w:tcPr>
            <w:tcW w:type="dxa" w:w="913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Source de données (table Grist) et option « suit les filtres du tableau de bord ».</w:t>
            </w:r>
          </w:p>
        </w:tc>
      </w:tr>
      <w:tr>
        <w:trPr>
          <w:cantSplit/>
        </w:trPr>
        <w:tc>
          <w:tcPr>
            <w:tcW w:type="dxa" w:w="50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8</w:t>
            </w:r>
          </w:p>
        </w:tc>
        <w:tc>
          <w:tcPr>
            <w:tcW w:type="dxa" w:w="913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Mesures avec agrégation par mesure (somme, moyenne, nombre…), couleur et ordre modifiables.</w:t>
            </w:r>
          </w:p>
        </w:tc>
      </w:tr>
      <w:tr>
        <w:trPr>
          <w:cantSplit/>
        </w:trPr>
        <w:tc>
          <w:tcPr>
            <w:tcW w:type="dxa" w:w="50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9</w:t>
            </w:r>
          </w:p>
        </w:tc>
        <w:tc>
          <w:tcPr>
            <w:tcW w:type="dxa" w:w="913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Tri (ordre des données, dimension, valeur) et limitation au Top N avec regroupement « Autres ».</w:t>
            </w:r>
          </w:p>
        </w:tc>
      </w:tr>
      <w:tr>
        <w:trPr>
          <w:cantSplit/>
        </w:trPr>
        <w:tc>
          <w:tcPr>
            <w:tcW w:type="dxa" w:w="50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10</w:t>
            </w:r>
          </w:p>
        </w:tc>
        <w:tc>
          <w:tcPr>
            <w:tcW w:type="dxa" w:w="913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Options d’affichage fréquentes en accès direct : ligne d’objectif, étiquettes de valeur.</w:t>
            </w:r>
          </w:p>
        </w:tc>
      </w:tr>
      <w:tr>
        <w:trPr>
          <w:cantSplit/>
        </w:trPr>
        <w:tc>
          <w:tcPr>
            <w:tcW w:type="dxa" w:w="50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11</w:t>
            </w:r>
          </w:p>
        </w:tc>
        <w:tc>
          <w:tcPr>
            <w:tcW w:type="dxa" w:w="913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7"/>
                <w:szCs w:val="17"/>
              </w:rPr>
              <w:t xml:space="preserve">Grille de fond pointillée visible uniquement en édition ; tuiles en bordure tiretée.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5.3 Catalogue des tuiles</w:t>
      </w:r>
    </w:p>
    <w:p>
      <w:pPr>
        <w:spacing w:after="120" w:line="276"/>
      </w:pPr>
      <w:r>
        <w:t xml:space="preserve">Le sélecteur de tuiles regroupe les visualisations </w:t>
      </w:r>
      <w:r>
        <w:rPr>
          <w:b/>
          <w:bCs/>
        </w:rPr>
        <w:t xml:space="preserve">par intention</w:t>
      </w:r>
      <w:r>
        <w:t xml:space="preserve"> (indicateurs, comparer, évolution, répartition, relations, tableaux) et met en avant les types suggérés à partir des colonnes choisies, sur le modèle de la recommandation de Metabase.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3457575"/>
            <wp:effectExtent t="0" r="0" b="0" l="0"/>
            <wp:docPr id="1" name="picker" descr="picker" title="pic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C5B57"/>
          <w:sz w:val="17"/>
          <w:szCs w:val="17"/>
        </w:rPr>
        <w:t xml:space="preserve">Figure 15 — </w:t>
      </w:r>
      <w:r>
        <w:rPr>
          <w:i/>
          <w:iCs/>
          <w:color w:val="5C5B57"/>
          <w:sz w:val="17"/>
          <w:szCs w:val="17"/>
        </w:rPr>
        <w:t xml:space="preserve">Sélecteur « Ajouter une tuile » (maquette) : regroupement par intention et suggestions selon les types de colonnes.</w:t>
      </w:r>
    </w:p>
    <w:p>
      <w:pPr>
        <w:keepNext/>
        <w:spacing w:after="80" w:before="120"/>
      </w:pPr>
      <w:r>
        <w:rPr>
          <w:b/>
          <w:bCs/>
          <w:color w:val="5C5B57"/>
          <w:sz w:val="17"/>
          <w:szCs w:val="17"/>
        </w:rPr>
        <w:t xml:space="preserve">Tableau 3 — </w:t>
      </w:r>
      <w:r>
        <w:rPr>
          <w:i/>
          <w:iCs/>
          <w:color w:val="5C5B57"/>
          <w:sz w:val="17"/>
          <w:szCs w:val="17"/>
        </w:rPr>
        <w:t xml:space="preserve">Catalogue des tuiles et lotissement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3"/>
        <w:gridCol w:w="1948"/>
        <w:gridCol w:w="1948"/>
        <w:gridCol w:w="3486"/>
        <w:gridCol w:w="923"/>
      </w:tblGrid>
      <w:tr>
        <w:trPr>
          <w:tblHeader/>
        </w:trPr>
        <w:tc>
          <w:tcPr>
            <w:tcW w:type="dxa" w:w="13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5"/>
                <w:szCs w:val="15"/>
              </w:rPr>
              <w:t xml:space="preserve">Famille</w:t>
            </w:r>
          </w:p>
        </w:tc>
        <w:tc>
          <w:tcPr>
            <w:tcW w:type="dxa" w:w="19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5"/>
                <w:szCs w:val="15"/>
              </w:rPr>
              <w:t xml:space="preserve">Type de tuile</w:t>
            </w:r>
          </w:p>
        </w:tc>
        <w:tc>
          <w:tcPr>
            <w:tcW w:type="dxa" w:w="19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5"/>
                <w:szCs w:val="15"/>
              </w:rPr>
              <w:t xml:space="preserve">Données requises</w:t>
            </w:r>
          </w:p>
        </w:tc>
        <w:tc>
          <w:tcPr>
            <w:tcW w:type="dxa" w:w="348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5"/>
                <w:szCs w:val="15"/>
              </w:rPr>
              <w:t xml:space="preserve">Paramètres spécifiques</w:t>
            </w:r>
          </w:p>
        </w:tc>
        <w:tc>
          <w:tcPr>
            <w:tcW w:type="dxa" w:w="92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5"/>
                <w:szCs w:val="15"/>
              </w:rPr>
              <w:t xml:space="preserve">Lot</w:t>
            </w:r>
          </w:p>
        </w:tc>
      </w:tr>
      <w:tr>
        <w:trPr>
          <w:cantSplit/>
        </w:trPr>
        <w:tc>
          <w:tcPr>
            <w:tcW w:type="dxa" w:w="13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Indicateurs</w:t>
            </w:r>
          </w:p>
        </w:tc>
        <w:tc>
          <w:tcPr>
            <w:tcW w:type="dxa" w:w="19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Nombre (KPI)</w:t>
            </w:r>
          </w:p>
        </w:tc>
        <w:tc>
          <w:tcPr>
            <w:tcW w:type="dxa" w:w="19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1 mesure</w:t>
            </w:r>
          </w:p>
        </w:tc>
        <w:tc>
          <w:tcPr>
            <w:tcW w:type="dxa" w:w="348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Préfixe/suffixe, unité, abréviation k/M, couleur conditionnelle</w:t>
            </w:r>
          </w:p>
        </w:tc>
        <w:tc>
          <w:tcPr>
            <w:tcW w:type="dxa" w:w="92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3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</w:p>
        </w:tc>
        <w:tc>
          <w:tcPr>
            <w:tcW w:type="dxa" w:w="19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Tendance</w:t>
            </w:r>
          </w:p>
        </w:tc>
        <w:tc>
          <w:tcPr>
            <w:tcW w:type="dxa" w:w="19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1 date + 1 mesure</w:t>
            </w:r>
          </w:p>
        </w:tc>
        <w:tc>
          <w:tcPr>
            <w:tcW w:type="dxa" w:w="348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Comparaison période précédente ou valeur fixe, sens favorable, sparkline</w:t>
            </w:r>
          </w:p>
        </w:tc>
        <w:tc>
          <w:tcPr>
            <w:tcW w:type="dxa" w:w="92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3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</w:p>
        </w:tc>
        <w:tc>
          <w:tcPr>
            <w:tcW w:type="dxa" w:w="19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Jauge</w:t>
            </w:r>
          </w:p>
        </w:tc>
        <w:tc>
          <w:tcPr>
            <w:tcW w:type="dxa" w:w="19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1 mesure</w:t>
            </w:r>
          </w:p>
        </w:tc>
        <w:tc>
          <w:tcPr>
            <w:tcW w:type="dxa" w:w="348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Min/max, segments colorés et libellés</w:t>
            </w:r>
          </w:p>
        </w:tc>
        <w:tc>
          <w:tcPr>
            <w:tcW w:type="dxa" w:w="92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V1</w:t>
            </w:r>
          </w:p>
        </w:tc>
      </w:tr>
      <w:tr>
        <w:trPr>
          <w:cantSplit/>
        </w:trPr>
        <w:tc>
          <w:tcPr>
            <w:tcW w:type="dxa" w:w="13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</w:p>
        </w:tc>
        <w:tc>
          <w:tcPr>
            <w:tcW w:type="dxa" w:w="19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Progression</w:t>
            </w:r>
          </w:p>
        </w:tc>
        <w:tc>
          <w:tcPr>
            <w:tcW w:type="dxa" w:w="19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1 mesure + objectif</w:t>
            </w:r>
          </w:p>
        </w:tc>
        <w:tc>
          <w:tcPr>
            <w:tcW w:type="dxa" w:w="348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Objectif fixe ou colonne, couleur si dépassé</w:t>
            </w:r>
          </w:p>
        </w:tc>
        <w:tc>
          <w:tcPr>
            <w:tcW w:type="dxa" w:w="92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V1</w:t>
            </w:r>
          </w:p>
        </w:tc>
      </w:tr>
      <w:tr>
        <w:trPr>
          <w:cantSplit/>
        </w:trPr>
        <w:tc>
          <w:tcPr>
            <w:tcW w:type="dxa" w:w="13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Comparer</w:t>
            </w:r>
          </w:p>
        </w:tc>
        <w:tc>
          <w:tcPr>
            <w:tcW w:type="dxa" w:w="19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Barres / barres horizontales</w:t>
            </w:r>
          </w:p>
        </w:tc>
        <w:tc>
          <w:tcPr>
            <w:tcW w:type="dxa" w:w="19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1 dimension + n mesures</w:t>
            </w:r>
          </w:p>
        </w:tc>
        <w:tc>
          <w:tcPr>
            <w:tcW w:type="dxa" w:w="348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Groupé / empilé / 100 %, objectif, valeurs, Top N</w:t>
            </w:r>
          </w:p>
        </w:tc>
        <w:tc>
          <w:tcPr>
            <w:tcW w:type="dxa" w:w="92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3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</w:p>
        </w:tc>
        <w:tc>
          <w:tcPr>
            <w:tcW w:type="dxa" w:w="19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Combiné barres + ligne</w:t>
            </w:r>
          </w:p>
        </w:tc>
        <w:tc>
          <w:tcPr>
            <w:tcW w:type="dxa" w:w="19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1 dimension + 2 mesures</w:t>
            </w:r>
          </w:p>
        </w:tc>
        <w:tc>
          <w:tcPr>
            <w:tcW w:type="dxa" w:w="348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Type par série, second axe (désactivé par défaut)</w:t>
            </w:r>
          </w:p>
        </w:tc>
        <w:tc>
          <w:tcPr>
            <w:tcW w:type="dxa" w:w="92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V1</w:t>
            </w:r>
          </w:p>
        </w:tc>
      </w:tr>
      <w:tr>
        <w:trPr>
          <w:cantSplit/>
        </w:trPr>
        <w:tc>
          <w:tcPr>
            <w:tcW w:type="dxa" w:w="13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</w:p>
        </w:tc>
        <w:tc>
          <w:tcPr>
            <w:tcW w:type="dxa" w:w="19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Cascade</w:t>
            </w:r>
          </w:p>
        </w:tc>
        <w:tc>
          <w:tcPr>
            <w:tcW w:type="dxa" w:w="19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1 dimension + 1 mesure</w:t>
            </w:r>
          </w:p>
        </w:tc>
        <w:tc>
          <w:tcPr>
            <w:tcW w:type="dxa" w:w="348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Couleurs hausse/baisse/total</w:t>
            </w:r>
          </w:p>
        </w:tc>
        <w:tc>
          <w:tcPr>
            <w:tcW w:type="dxa" w:w="92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3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Évolution</w:t>
            </w:r>
          </w:p>
        </w:tc>
        <w:tc>
          <w:tcPr>
            <w:tcW w:type="dxa" w:w="19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Courbe, aire</w:t>
            </w:r>
          </w:p>
        </w:tc>
        <w:tc>
          <w:tcPr>
            <w:tcW w:type="dxa" w:w="19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1 date + n mesures</w:t>
            </w:r>
          </w:p>
        </w:tc>
        <w:tc>
          <w:tcPr>
            <w:tcW w:type="dxa" w:w="348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Granularité, lissage, points, cumul, tendance, zoom</w:t>
            </w:r>
          </w:p>
        </w:tc>
        <w:tc>
          <w:tcPr>
            <w:tcW w:type="dxa" w:w="92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3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</w:p>
        </w:tc>
        <w:tc>
          <w:tcPr>
            <w:tcW w:type="dxa" w:w="19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Calendrier (heatmap)</w:t>
            </w:r>
          </w:p>
        </w:tc>
        <w:tc>
          <w:tcPr>
            <w:tcW w:type="dxa" w:w="19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1 date + 1 mesure</w:t>
            </w:r>
          </w:p>
        </w:tc>
        <w:tc>
          <w:tcPr>
            <w:tcW w:type="dxa" w:w="348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Année, rampe séquentielle</w:t>
            </w:r>
          </w:p>
        </w:tc>
        <w:tc>
          <w:tcPr>
            <w:tcW w:type="dxa" w:w="92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3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Répartition</w:t>
            </w:r>
          </w:p>
        </w:tc>
        <w:tc>
          <w:tcPr>
            <w:tcW w:type="dxa" w:w="19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Donut / secteurs</w:t>
            </w:r>
          </w:p>
        </w:tc>
        <w:tc>
          <w:tcPr>
            <w:tcW w:type="dxa" w:w="19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1 dimension + 1 mesure</w:t>
            </w:r>
          </w:p>
        </w:tc>
        <w:tc>
          <w:tcPr>
            <w:tcW w:type="dxa" w:w="348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Total central, % ou valeur, regroupement des petites parts</w:t>
            </w:r>
          </w:p>
        </w:tc>
        <w:tc>
          <w:tcPr>
            <w:tcW w:type="dxa" w:w="92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3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</w:p>
        </w:tc>
        <w:tc>
          <w:tcPr>
            <w:tcW w:type="dxa" w:w="19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Treemap, sunburst</w:t>
            </w:r>
          </w:p>
        </w:tc>
        <w:tc>
          <w:tcPr>
            <w:tcW w:type="dxa" w:w="19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1-2 dimensions + 1 mesure</w:t>
            </w:r>
          </w:p>
        </w:tc>
        <w:tc>
          <w:tcPr>
            <w:tcW w:type="dxa" w:w="348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Niveaux, zoom, libellés</w:t>
            </w:r>
          </w:p>
        </w:tc>
        <w:tc>
          <w:tcPr>
            <w:tcW w:type="dxa" w:w="92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V1</w:t>
            </w:r>
          </w:p>
        </w:tc>
      </w:tr>
      <w:tr>
        <w:trPr>
          <w:cantSplit/>
        </w:trPr>
        <w:tc>
          <w:tcPr>
            <w:tcW w:type="dxa" w:w="13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</w:p>
        </w:tc>
        <w:tc>
          <w:tcPr>
            <w:tcW w:type="dxa" w:w="19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Entonnoir</w:t>
            </w:r>
          </w:p>
        </w:tc>
        <w:tc>
          <w:tcPr>
            <w:tcW w:type="dxa" w:w="19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1 dimension (étapes) + 1 mesure</w:t>
            </w:r>
          </w:p>
        </w:tc>
        <w:tc>
          <w:tcPr>
            <w:tcW w:type="dxa" w:w="348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Ordre des étapes, taux de conversion</w:t>
            </w:r>
          </w:p>
        </w:tc>
        <w:tc>
          <w:tcPr>
            <w:tcW w:type="dxa" w:w="92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3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Relations</w:t>
            </w:r>
          </w:p>
        </w:tc>
        <w:tc>
          <w:tcPr>
            <w:tcW w:type="dxa" w:w="19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Nuage / bulles</w:t>
            </w:r>
          </w:p>
        </w:tc>
        <w:tc>
          <w:tcPr>
            <w:tcW w:type="dxa" w:w="19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2 mesures (+ taille, couleur)</w:t>
            </w:r>
          </w:p>
        </w:tc>
        <w:tc>
          <w:tcPr>
            <w:tcW w:type="dxa" w:w="348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Taille des bulles, régression</w:t>
            </w:r>
          </w:p>
        </w:tc>
        <w:tc>
          <w:tcPr>
            <w:tcW w:type="dxa" w:w="92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V1</w:t>
            </w:r>
          </w:p>
        </w:tc>
      </w:tr>
      <w:tr>
        <w:trPr>
          <w:cantSplit/>
        </w:trPr>
        <w:tc>
          <w:tcPr>
            <w:tcW w:type="dxa" w:w="13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</w:p>
        </w:tc>
        <w:tc>
          <w:tcPr>
            <w:tcW w:type="dxa" w:w="19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Sankey</w:t>
            </w:r>
          </w:p>
        </w:tc>
        <w:tc>
          <w:tcPr>
            <w:tcW w:type="dxa" w:w="19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Source + cible + mesure</w:t>
            </w:r>
          </w:p>
        </w:tc>
        <w:tc>
          <w:tcPr>
            <w:tcW w:type="dxa" w:w="348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Alignement, couleur des liens</w:t>
            </w:r>
          </w:p>
        </w:tc>
        <w:tc>
          <w:tcPr>
            <w:tcW w:type="dxa" w:w="92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3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</w:p>
        </w:tc>
        <w:tc>
          <w:tcPr>
            <w:tcW w:type="dxa" w:w="19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Heatmap, boîte à moustaches</w:t>
            </w:r>
          </w:p>
        </w:tc>
        <w:tc>
          <w:tcPr>
            <w:tcW w:type="dxa" w:w="19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2 dimensions + mesure / 1 mesure</w:t>
            </w:r>
          </w:p>
        </w:tc>
        <w:tc>
          <w:tcPr>
            <w:tcW w:type="dxa" w:w="348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Rampe, quartiles</w:t>
            </w:r>
          </w:p>
        </w:tc>
        <w:tc>
          <w:tcPr>
            <w:tcW w:type="dxa" w:w="92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3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</w:p>
        </w:tc>
        <w:tc>
          <w:tcPr>
            <w:tcW w:type="dxa" w:w="19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Carte choroplèthe</w:t>
            </w:r>
          </w:p>
        </w:tc>
        <w:tc>
          <w:tcPr>
            <w:tcW w:type="dxa" w:w="19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Code géographique + mesure</w:t>
            </w:r>
          </w:p>
        </w:tc>
        <w:tc>
          <w:tcPr>
            <w:tcW w:type="dxa" w:w="348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Fond GeoJSON configurable</w:t>
            </w:r>
          </w:p>
        </w:tc>
        <w:tc>
          <w:tcPr>
            <w:tcW w:type="dxa" w:w="92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3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Tableaux &amp; contenu</w:t>
            </w:r>
          </w:p>
        </w:tc>
        <w:tc>
          <w:tcPr>
            <w:tcW w:type="dxa" w:w="19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Tableau, tableau croisé</w:t>
            </w:r>
          </w:p>
        </w:tc>
        <w:tc>
          <w:tcPr>
            <w:tcW w:type="dxa" w:w="19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Colonnes / lignes × colonnes</w:t>
            </w:r>
          </w:p>
        </w:tc>
        <w:tc>
          <w:tcPr>
            <w:tcW w:type="dxa" w:w="348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Mise en forme conditionnelle, barres dans les cellules, totaux</w:t>
            </w:r>
          </w:p>
        </w:tc>
        <w:tc>
          <w:tcPr>
            <w:tcW w:type="dxa" w:w="92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MVP / V1</w:t>
            </w:r>
          </w:p>
        </w:tc>
      </w:tr>
      <w:tr>
        <w:trPr>
          <w:cantSplit/>
        </w:trPr>
        <w:tc>
          <w:tcPr>
            <w:tcW w:type="dxa" w:w="13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</w:p>
        </w:tc>
        <w:tc>
          <w:tcPr>
            <w:tcW w:type="dxa" w:w="19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Texte / Markdown, titre de section, filtre</w:t>
            </w:r>
          </w:p>
        </w:tc>
        <w:tc>
          <w:tcPr>
            <w:tcW w:type="dxa" w:w="19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—</w:t>
            </w:r>
          </w:p>
        </w:tc>
        <w:tc>
          <w:tcPr>
            <w:tcW w:type="dxa" w:w="348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Markdown, variables (date du jour, nb de lignes)</w:t>
            </w:r>
          </w:p>
        </w:tc>
        <w:tc>
          <w:tcPr>
            <w:tcW w:type="dxa" w:w="92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MVP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5.4 Paramétrage d’une tuile</w:t>
      </w:r>
    </w:p>
    <w:p>
      <w:pPr>
        <w:spacing w:after="120" w:line="276"/>
      </w:pPr>
      <w:r>
        <w:t xml:space="preserve">Chaque paramètre exposé dans l’interface correspond à une option ECharts documentée, ce qui garantit la faisabilité et facilite la maintenance. Le tableau ci-dessous fixe le contenu de chaque onglet.</w:t>
      </w:r>
    </w:p>
    <w:p>
      <w:pPr>
        <w:keepNext/>
        <w:spacing w:after="80" w:before="120"/>
      </w:pPr>
      <w:r>
        <w:rPr>
          <w:b/>
          <w:bCs/>
          <w:color w:val="5C5B57"/>
          <w:sz w:val="17"/>
          <w:szCs w:val="17"/>
        </w:rPr>
        <w:t xml:space="preserve">Tableau 4 — </w:t>
      </w:r>
      <w:r>
        <w:rPr>
          <w:i/>
          <w:iCs/>
          <w:color w:val="5C5B57"/>
          <w:sz w:val="17"/>
          <w:szCs w:val="17"/>
        </w:rPr>
        <w:t xml:space="preserve">Paramètres d’une tuile et correspondance ECharts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5"/>
        <w:gridCol w:w="1908"/>
        <w:gridCol w:w="3112"/>
        <w:gridCol w:w="3413"/>
      </w:tblGrid>
      <w:tr>
        <w:trPr>
          <w:tblHeader/>
        </w:trPr>
        <w:tc>
          <w:tcPr>
            <w:tcW w:type="dxa" w:w="1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5"/>
                <w:szCs w:val="15"/>
              </w:rPr>
              <w:t xml:space="preserve">Onglet</w:t>
            </w:r>
          </w:p>
        </w:tc>
        <w:tc>
          <w:tcPr>
            <w:tcW w:type="dxa" w:w="190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5"/>
                <w:szCs w:val="15"/>
              </w:rPr>
              <w:t xml:space="preserve">Paramètre (UI)</w:t>
            </w:r>
          </w:p>
        </w:tc>
        <w:tc>
          <w:tcPr>
            <w:tcW w:type="dxa" w:w="311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5"/>
                <w:szCs w:val="15"/>
              </w:rPr>
              <w:t xml:space="preserve">Valeurs</w:t>
            </w:r>
          </w:p>
        </w:tc>
        <w:tc>
          <w:tcPr>
            <w:tcW w:type="dxa" w:w="34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5"/>
                <w:szCs w:val="15"/>
              </w:rPr>
              <w:t xml:space="preserve">Correspondance ECharts / traitement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Données</w:t>
            </w:r>
          </w:p>
        </w:tc>
        <w:tc>
          <w:tcPr>
            <w:tcW w:type="dxa" w:w="190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Source</w:t>
            </w:r>
          </w:p>
        </w:tc>
        <w:tc>
          <w:tcPr>
            <w:tcW w:type="dxa" w:w="311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Table Grist, option « suit les filtres globaux »</w:t>
            </w:r>
          </w:p>
        </w:tc>
        <w:tc>
          <w:tcPr>
            <w:tcW w:type="dxa" w:w="34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0E7A54"/>
                <w:sz w:val="13"/>
                <w:szCs w:val="13"/>
              </w:rPr>
              <w:t xml:space="preserve">docApi.fetchTable()</w:t>
            </w:r>
            <w:r>
              <w:rPr>
                <w:color w:val="1D1D1B"/>
                <w:sz w:val="15"/>
                <w:szCs w:val="15"/>
              </w:rPr>
              <w:t xml:space="preserve"> + abonnement aux changements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</w:p>
        </w:tc>
        <w:tc>
          <w:tcPr>
            <w:tcW w:type="dxa" w:w="190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Dimension (axe X)</w:t>
            </w:r>
          </w:p>
        </w:tc>
        <w:tc>
          <w:tcPr>
            <w:tcW w:type="dxa" w:w="311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Colonne ; pour une date : jour, semaine, mois, trimestre, année</w:t>
            </w:r>
          </w:p>
        </w:tc>
        <w:tc>
          <w:tcPr>
            <w:tcW w:type="dxa" w:w="34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Regroupement côté widget ; </w:t>
            </w:r>
            <w:r>
              <w:rPr>
                <w:rFonts w:ascii="Consolas" w:cs="Consolas" w:eastAsia="Consolas" w:hAnsi="Consolas"/>
                <w:color w:val="0E7A54"/>
                <w:sz w:val="13"/>
                <w:szCs w:val="13"/>
              </w:rPr>
              <w:t xml:space="preserve">xAxis.type: time | category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</w:p>
        </w:tc>
        <w:tc>
          <w:tcPr>
            <w:tcW w:type="dxa" w:w="190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Mesures</w:t>
            </w:r>
          </w:p>
        </w:tc>
        <w:tc>
          <w:tcPr>
            <w:tcW w:type="dxa" w:w="311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Colonne + agrégation : nombre, nombre distinct, somme, moyenne, médiane, min, max, cumul</w:t>
            </w:r>
          </w:p>
        </w:tc>
        <w:tc>
          <w:tcPr>
            <w:tcW w:type="dxa" w:w="34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Pipeline d’agrégation (frame.ts) → </w:t>
            </w:r>
            <w:r>
              <w:rPr>
                <w:rFonts w:ascii="Consolas" w:cs="Consolas" w:eastAsia="Consolas" w:hAnsi="Consolas"/>
                <w:color w:val="0E7A54"/>
                <w:sz w:val="13"/>
                <w:szCs w:val="13"/>
              </w:rPr>
              <w:t xml:space="preserve">series[].data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</w:p>
        </w:tc>
        <w:tc>
          <w:tcPr>
            <w:tcW w:type="dxa" w:w="190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Éclater par</w:t>
            </w:r>
          </w:p>
        </w:tc>
        <w:tc>
          <w:tcPr>
            <w:tcW w:type="dxa" w:w="311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2ᵉ dimension (une série par valeur)</w:t>
            </w:r>
          </w:p>
        </w:tc>
        <w:tc>
          <w:tcPr>
            <w:tcW w:type="dxa" w:w="34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Pivot → n séries, couleurs stables par valeur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</w:p>
        </w:tc>
        <w:tc>
          <w:tcPr>
            <w:tcW w:type="dxa" w:w="190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Tri et limite</w:t>
            </w:r>
          </w:p>
        </w:tc>
        <w:tc>
          <w:tcPr>
            <w:tcW w:type="dxa" w:w="311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Données, dimension, valeur ↑↓ ; Top N + « Autres »</w:t>
            </w:r>
          </w:p>
        </w:tc>
        <w:tc>
          <w:tcPr>
            <w:tcW w:type="dxa" w:w="34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Tri du jeu de données avant rendu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</w:p>
        </w:tc>
        <w:tc>
          <w:tcPr>
            <w:tcW w:type="dxa" w:w="190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Filtres de tuile</w:t>
            </w:r>
          </w:p>
        </w:tc>
        <w:tc>
          <w:tcPr>
            <w:tcW w:type="dxa" w:w="311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Conditions par colonne (=, ≠, contient, entre, vide…)</w:t>
            </w:r>
          </w:p>
        </w:tc>
        <w:tc>
          <w:tcPr>
            <w:tcW w:type="dxa" w:w="34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Filtrage avant agrégation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Affichage</w:t>
            </w:r>
          </w:p>
        </w:tc>
        <w:tc>
          <w:tcPr>
            <w:tcW w:type="dxa" w:w="190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Empilement</w:t>
            </w:r>
          </w:p>
        </w:tc>
        <w:tc>
          <w:tcPr>
            <w:tcW w:type="dxa" w:w="311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Groupé, empilé, 100 %</w:t>
            </w:r>
          </w:p>
        </w:tc>
        <w:tc>
          <w:tcPr>
            <w:tcW w:type="dxa" w:w="34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0E7A54"/>
                <w:sz w:val="13"/>
                <w:szCs w:val="13"/>
              </w:rPr>
              <w:t xml:space="preserve">series[].stack</w:t>
            </w:r>
            <w:r>
              <w:rPr>
                <w:color w:val="1D1D1B"/>
                <w:sz w:val="15"/>
                <w:szCs w:val="15"/>
              </w:rPr>
              <w:t xml:space="preserve">, normalisation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</w:p>
        </w:tc>
        <w:tc>
          <w:tcPr>
            <w:tcW w:type="dxa" w:w="190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Ligne d’objectif</w:t>
            </w:r>
          </w:p>
        </w:tc>
        <w:tc>
          <w:tcPr>
            <w:tcW w:type="dxa" w:w="311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Valeur fixe ou colonne, libellé</w:t>
            </w:r>
          </w:p>
        </w:tc>
        <w:tc>
          <w:tcPr>
            <w:tcW w:type="dxa" w:w="34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0E7A54"/>
                <w:sz w:val="13"/>
                <w:szCs w:val="13"/>
              </w:rPr>
              <w:t xml:space="preserve">series[].markLine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</w:p>
        </w:tc>
        <w:tc>
          <w:tcPr>
            <w:tcW w:type="dxa" w:w="190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Étiquettes de valeur</w:t>
            </w:r>
          </w:p>
        </w:tc>
        <w:tc>
          <w:tcPr>
            <w:tcW w:type="dxa" w:w="311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Aucune, toutes, extrêmes ; format auto/compact/complet</w:t>
            </w:r>
          </w:p>
        </w:tc>
        <w:tc>
          <w:tcPr>
            <w:tcW w:type="dxa" w:w="34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0E7A54"/>
                <w:sz w:val="13"/>
                <w:szCs w:val="13"/>
              </w:rPr>
              <w:t xml:space="preserve">series[].label</w:t>
            </w:r>
            <w:r>
              <w:rPr>
                <w:color w:val="1D1D1B"/>
                <w:sz w:val="15"/>
                <w:szCs w:val="15"/>
              </w:rPr>
              <w:t xml:space="preserve"> + formateur FR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</w:p>
        </w:tc>
        <w:tc>
          <w:tcPr>
            <w:tcW w:type="dxa" w:w="190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Couleurs</w:t>
            </w:r>
          </w:p>
        </w:tc>
        <w:tc>
          <w:tcPr>
            <w:tcW w:type="dxa" w:w="311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Palette du thème, couleur par série, couleur conditionnelle</w:t>
            </w:r>
          </w:p>
        </w:tc>
        <w:tc>
          <w:tcPr>
            <w:tcW w:type="dxa" w:w="34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0E7A54"/>
                <w:sz w:val="13"/>
                <w:szCs w:val="13"/>
              </w:rPr>
              <w:t xml:space="preserve">color[]</w:t>
            </w:r>
            <w:r>
              <w:rPr>
                <w:color w:val="1D1D1B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E7A54"/>
                <w:sz w:val="13"/>
                <w:szCs w:val="13"/>
              </w:rPr>
              <w:t xml:space="preserve">itemStyle.color</w:t>
            </w:r>
            <w:r>
              <w:rPr>
                <w:color w:val="1D1D1B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E7A54"/>
                <w:sz w:val="13"/>
                <w:szCs w:val="13"/>
              </w:rPr>
              <w:t xml:space="preserve">visualMap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</w:p>
        </w:tc>
        <w:tc>
          <w:tcPr>
            <w:tcW w:type="dxa" w:w="190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Légende, infobulle</w:t>
            </w:r>
          </w:p>
        </w:tc>
        <w:tc>
          <w:tcPr>
            <w:tcW w:type="dxa" w:w="311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Position, colonnes additionnelles dans l’infobulle</w:t>
            </w:r>
          </w:p>
        </w:tc>
        <w:tc>
          <w:tcPr>
            <w:tcW w:type="dxa" w:w="34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0E7A54"/>
                <w:sz w:val="13"/>
                <w:szCs w:val="13"/>
              </w:rPr>
              <w:t xml:space="preserve">legend</w:t>
            </w:r>
            <w:r>
              <w:rPr>
                <w:color w:val="1D1D1B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E7A54"/>
                <w:sz w:val="13"/>
                <w:szCs w:val="13"/>
              </w:rPr>
              <w:t xml:space="preserve">tooltip.formatter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</w:p>
        </w:tc>
        <w:tc>
          <w:tcPr>
            <w:tcW w:type="dxa" w:w="190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Courbes</w:t>
            </w:r>
          </w:p>
        </w:tc>
        <w:tc>
          <w:tcPr>
            <w:tcW w:type="dxa" w:w="311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Lissage, points, aire, tendance linéaire</w:t>
            </w:r>
          </w:p>
        </w:tc>
        <w:tc>
          <w:tcPr>
            <w:tcW w:type="dxa" w:w="34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0E7A54"/>
                <w:sz w:val="13"/>
                <w:szCs w:val="13"/>
              </w:rPr>
              <w:t xml:space="preserve">smooth</w:t>
            </w:r>
            <w:r>
              <w:rPr>
                <w:color w:val="1D1D1B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E7A54"/>
                <w:sz w:val="13"/>
                <w:szCs w:val="13"/>
              </w:rPr>
              <w:t xml:space="preserve">showSymbol</w:t>
            </w:r>
            <w:r>
              <w:rPr>
                <w:color w:val="1D1D1B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E7A54"/>
                <w:sz w:val="13"/>
                <w:szCs w:val="13"/>
              </w:rPr>
              <w:t xml:space="preserve">areaStyle</w:t>
            </w:r>
            <w:r>
              <w:rPr>
                <w:color w:val="1D1D1B"/>
                <w:sz w:val="15"/>
                <w:szCs w:val="15"/>
              </w:rPr>
              <w:t xml:space="preserve">, régression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Axes</w:t>
            </w:r>
          </w:p>
        </w:tc>
        <w:tc>
          <w:tcPr>
            <w:tcW w:type="dxa" w:w="190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Titres et libellés</w:t>
            </w:r>
          </w:p>
        </w:tc>
        <w:tc>
          <w:tcPr>
            <w:tcW w:type="dxa" w:w="311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Afficher, texte, rotation auto</w:t>
            </w:r>
          </w:p>
        </w:tc>
        <w:tc>
          <w:tcPr>
            <w:tcW w:type="dxa" w:w="34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0E7A54"/>
                <w:sz w:val="13"/>
                <w:szCs w:val="13"/>
              </w:rPr>
              <w:t xml:space="preserve">xAxis.name</w:t>
            </w:r>
            <w:r>
              <w:rPr>
                <w:color w:val="1D1D1B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E7A54"/>
                <w:sz w:val="13"/>
                <w:szCs w:val="13"/>
              </w:rPr>
              <w:t xml:space="preserve">axisLabel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</w:p>
        </w:tc>
        <w:tc>
          <w:tcPr>
            <w:tcW w:type="dxa" w:w="190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Échelle</w:t>
            </w:r>
          </w:p>
        </w:tc>
        <w:tc>
          <w:tcPr>
            <w:tcW w:type="dxa" w:w="311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Linéaire, logarithmique, min/max, détacher de zéro</w:t>
            </w:r>
          </w:p>
        </w:tc>
        <w:tc>
          <w:tcPr>
            <w:tcW w:type="dxa" w:w="34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0E7A54"/>
                <w:sz w:val="13"/>
                <w:szCs w:val="13"/>
              </w:rPr>
              <w:t xml:space="preserve">yAxis.type</w:t>
            </w:r>
            <w:r>
              <w:rPr>
                <w:color w:val="1D1D1B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E7A54"/>
                <w:sz w:val="13"/>
                <w:szCs w:val="13"/>
              </w:rPr>
              <w:t xml:space="preserve">min</w:t>
            </w:r>
            <w:r>
              <w:rPr>
                <w:color w:val="1D1D1B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E7A54"/>
                <w:sz w:val="13"/>
                <w:szCs w:val="13"/>
              </w:rPr>
              <w:t xml:space="preserve">max</w:t>
            </w:r>
            <w:r>
              <w:rPr>
                <w:color w:val="1D1D1B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E7A54"/>
                <w:sz w:val="13"/>
                <w:szCs w:val="13"/>
              </w:rPr>
              <w:t xml:space="preserve">scale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</w:p>
        </w:tc>
        <w:tc>
          <w:tcPr>
            <w:tcW w:type="dxa" w:w="190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Format des nombres</w:t>
            </w:r>
          </w:p>
        </w:tc>
        <w:tc>
          <w:tcPr>
            <w:tcW w:type="dxa" w:w="311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Hérité de la colonne Grist (devise, %, décimales) ou forcé</w:t>
            </w:r>
          </w:p>
        </w:tc>
        <w:tc>
          <w:tcPr>
            <w:tcW w:type="dxa" w:w="34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Formateur basé sur </w:t>
            </w:r>
            <w:r>
              <w:rPr>
                <w:rFonts w:ascii="Consolas" w:cs="Consolas" w:eastAsia="Consolas" w:hAnsi="Consolas"/>
                <w:color w:val="0E7A54"/>
                <w:sz w:val="13"/>
                <w:szCs w:val="13"/>
              </w:rPr>
              <w:t xml:space="preserve">Intl.NumberFormat("fr-FR")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Interactions</w:t>
            </w:r>
          </w:p>
        </w:tc>
        <w:tc>
          <w:tcPr>
            <w:tcW w:type="dxa" w:w="190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Clic sur un élément</w:t>
            </w:r>
          </w:p>
        </w:tc>
        <w:tc>
          <w:tcPr>
            <w:tcW w:type="dxa" w:w="311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Aucun, filtrer le tableau de bord, ouvrir les enregistrements</w:t>
            </w:r>
          </w:p>
        </w:tc>
        <w:tc>
          <w:tcPr>
            <w:tcW w:type="dxa" w:w="34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0E7A54"/>
                <w:sz w:val="13"/>
                <w:szCs w:val="13"/>
              </w:rPr>
              <w:t xml:space="preserve">chart.on("click")</w:t>
            </w:r>
            <w:r>
              <w:rPr>
                <w:color w:val="1D1D1B"/>
                <w:sz w:val="15"/>
                <w:szCs w:val="15"/>
              </w:rPr>
              <w:t xml:space="preserve"> → filtre croisé ou </w:t>
            </w:r>
            <w:r>
              <w:rPr>
                <w:rFonts w:ascii="Consolas" w:cs="Consolas" w:eastAsia="Consolas" w:hAnsi="Consolas"/>
                <w:color w:val="0E7A54"/>
                <w:sz w:val="13"/>
                <w:szCs w:val="13"/>
              </w:rPr>
              <w:t xml:space="preserve">setCursorPos</w:t>
            </w:r>
            <w:r>
              <w:rPr>
                <w:color w:val="1D1D1B"/>
                <w:sz w:val="15"/>
                <w:szCs w:val="15"/>
              </w:rPr>
              <w:t xml:space="preserve"> / </w:t>
            </w:r>
            <w:r>
              <w:rPr>
                <w:rFonts w:ascii="Consolas" w:cs="Consolas" w:eastAsia="Consolas" w:hAnsi="Consolas"/>
                <w:color w:val="0E7A54"/>
                <w:sz w:val="13"/>
                <w:szCs w:val="13"/>
              </w:rPr>
              <w:t xml:space="preserve">setSelectedRows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</w:p>
        </w:tc>
        <w:tc>
          <w:tcPr>
            <w:tcW w:type="dxa" w:w="190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Zoom</w:t>
            </w:r>
          </w:p>
        </w:tc>
        <w:tc>
          <w:tcPr>
            <w:tcW w:type="dxa" w:w="311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Barre de défilement temporelle, zoom molette</w:t>
            </w:r>
          </w:p>
        </w:tc>
        <w:tc>
          <w:tcPr>
            <w:tcW w:type="dxa" w:w="34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0E7A54"/>
                <w:sz w:val="13"/>
                <w:szCs w:val="13"/>
              </w:rPr>
              <w:t xml:space="preserve">dataZoom</w:t>
            </w:r>
            <w:r>
              <w:rPr>
                <w:color w:val="1D1D1B"/>
                <w:sz w:val="15"/>
                <w:szCs w:val="15"/>
              </w:rPr>
              <w:t xml:space="preserve"> (slider / inside)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</w:p>
        </w:tc>
        <w:tc>
          <w:tcPr>
            <w:tcW w:type="dxa" w:w="190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Export</w:t>
            </w:r>
          </w:p>
        </w:tc>
        <w:tc>
          <w:tcPr>
            <w:tcW w:type="dxa" w:w="311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5"/>
                <w:szCs w:val="15"/>
              </w:rPr>
              <w:t xml:space="preserve">PNG, SVG, CSV des données agrégées</w:t>
            </w:r>
          </w:p>
        </w:tc>
        <w:tc>
          <w:tcPr>
            <w:tcW w:type="dxa" w:w="34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0E7A54"/>
                <w:sz w:val="13"/>
                <w:szCs w:val="13"/>
              </w:rPr>
              <w:t xml:space="preserve">getDataURL()</w:t>
            </w:r>
            <w:r>
              <w:rPr>
                <w:color w:val="1D1D1B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E7A54"/>
                <w:sz w:val="13"/>
                <w:szCs w:val="13"/>
              </w:rPr>
              <w:t xml:space="preserve">renderToSVGString()</w:t>
            </w:r>
            <w:r>
              <w:rPr>
                <w:color w:val="1D1D1B"/>
                <w:sz w:val="15"/>
                <w:szCs w:val="15"/>
              </w:rPr>
              <w:t xml:space="preserve">, CSV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5.5 Données et règles de calcul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Lecture</w:t>
      </w:r>
      <w:r>
        <w:t xml:space="preserve"> : le widget demande l’accès « document complet » pour lire plusieurs tables ; il lit les données </w:t>
      </w:r>
      <w:r>
        <w:rPr>
          <w:b/>
          <w:bCs/>
        </w:rPr>
        <w:t xml:space="preserve">avec les droits de l’utilisateur courant</w:t>
      </w:r>
      <w:r>
        <w:t xml:space="preserve"> (les règles d’accès avancées de Grist s’appliquent : un lecteur ne voit que ses lignes).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Temps réel</w:t>
      </w:r>
      <w:r>
        <w:t xml:space="preserve"> : toute modification des tables sources met à jour les tuiles concernées en moins d’une seconde, sans rechargement.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Types Grist</w:t>
      </w:r>
      <w:r>
        <w:t xml:space="preserve"> : Référence et Liste de références affichent la colonne d’affichage ; Liste de choix compte une occurrence par choix ; les valeurs vides forment une catégorie « (vide) » masquable ; les dates suivent le fuseau du document.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Formats</w:t>
      </w:r>
      <w:r>
        <w:t xml:space="preserve"> : le format défini dans la colonne Grist (devise, pourcentage, décimales, format de date) est repris par défaut dans les axes, étiquettes et infobulles.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Couleurs des Choix</w:t>
      </w:r>
      <w:r>
        <w:t xml:space="preserve"> : quand la dimension est une colonne Choix, les couleurs définies dans Grist sont proposées en priorité, pour une cohérence entre tableau et graphique.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Volumétrie</w:t>
      </w:r>
      <w:r>
        <w:t xml:space="preserve"> : agrégation côté navigateur jusqu’à 100 000 lignes ; au-delà, recommandation d’utiliser une table récapitulative Grist comme source.</w:t>
      </w:r>
    </w:p>
    <w:p>
      <w:pPr>
        <w:pStyle w:val="Heading2"/>
      </w:pPr>
      <w:r>
        <w:t xml:space="preserve">5.6 Filtres globaux et interactions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Bandeau de filtres</w:t>
      </w:r>
      <w:r>
        <w:t xml:space="preserve"> en haut du tableau de bord : période (préréglages « 30 derniers jours », « Ce trimestre », « Cette année », plage libre), listes de valeurs (Choix, Référence), recherche texte. Chaque filtre cible une colonne par table source ; une tuile peut s’en affranchir.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Filtre croisé</w:t>
      </w:r>
      <w:r>
        <w:t xml:space="preserve"> : un clic sur une barre ou une part de donut filtre les autres tuiles ; un rappel « Filtré par : Direction = Habitat ✕ » s’affiche dans le bandeau.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Retour aux données</w:t>
      </w:r>
      <w:r>
        <w:t xml:space="preserve"> : action « Voir les enregistrements » qui sélectionne les lignes concernées dans une section liée (ou ouvre une fiche), rendant le tableau de bord actionnable.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Liaison Grist</w:t>
      </w:r>
      <w:r>
        <w:t xml:space="preserve"> : le widget peut aussi être la cible d’un « Sélectionner par » (par exemple, filtrer tout le tableau de bord à partir d’une liste de directions dans une autre section).</w:t>
      </w:r>
    </w:p>
    <w:p>
      <w:pPr>
        <w:pStyle w:val="Heading2"/>
      </w:pPr>
      <w:r>
        <w:t xml:space="preserve">5.7 Mise en page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Grille de </w:t>
      </w:r>
      <w:r>
        <w:rPr>
          <w:b/>
          <w:bCs/>
        </w:rPr>
        <w:t xml:space="preserve">12 colonnes</w:t>
      </w:r>
      <w:r>
        <w:t xml:space="preserve">, hauteur par pas de 96 px ; tailles par défaut : KPI 3 × 1, graphique 6 × 4, tableau 6 × 4.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Sections</w:t>
      </w:r>
      <w:r>
        <w:t xml:space="preserve"> (titre + texte d’analyse) et </w:t>
      </w:r>
      <w:r>
        <w:rPr>
          <w:b/>
          <w:bCs/>
        </w:rPr>
        <w:t xml:space="preserve">onglets</w:t>
      </w:r>
      <w:r>
        <w:t xml:space="preserve"> pour organiser les tableaux de bord longs, comme dans Metabase.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Responsive</w:t>
      </w:r>
      <w:r>
        <w:t xml:space="preserve"> : 12 colonnes au-delà de 1 200 px, 6 colonnes entre 768 et 1 199 px, empilement vertical en dessous (consultation mobile).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Plein écran / mode présentation</w:t>
      </w:r>
      <w:r>
        <w:t xml:space="preserve"> et rafraîchissement automatique optionnel pour un affichage sur écran mural.</w:t>
      </w:r>
    </w:p>
    <w:p>
      <w:pPr>
        <w:pStyle w:val="Heading2"/>
      </w:pPr>
      <w:r>
        <w:t xml:space="preserve">5.8 Export et partage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Par tuile : PNG (haute définition), SVG (vectoriel) et CSV des données agrégées.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Tableau de bord complet : impression / PDF A4 paysage avec en-tête (titre, filtres actifs, date d’extraction).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Le partage suit celui du document Grist (lien, rôles) ; aucun partage public propre au widget n’est introduit.</w:t>
      </w:r>
    </w:p>
    <w:p>
      <w:pPr>
        <w:pStyle w:val="Heading1"/>
        <w:spacing w:after="200" w:before="400"/>
      </w:pPr>
      <w:r>
        <w:t xml:space="preserve">6. Design et charte graphique</w:t>
      </w:r>
    </w:p>
    <w:p>
      <w:pPr>
        <w:pStyle w:val="Heading2"/>
      </w:pPr>
      <w:r>
        <w:t xml:space="preserve">6.1 Principes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Les données d’abord</w:t>
      </w:r>
      <w:r>
        <w:t xml:space="preserve"> : encre minimale, grilles très claires, pas de cadre d’axe, pas d’effet 3D ni d’ombre portée sur les graphiques.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Natif Grist</w:t>
      </w:r>
      <w:r>
        <w:t xml:space="preserve"> : typographie et surfaces cohérentes avec l’interface de Grist ; le vert Grist est réservé aux actions (boutons, filtres actifs), jamais aux séries de données.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Hiérarchie constante</w:t>
      </w:r>
      <w:r>
        <w:t xml:space="preserve"> : titre → filtres → KPI → graphiques → détail.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Lisible par tous</w:t>
      </w:r>
      <w:r>
        <w:t xml:space="preserve"> : palette validée pour les daltonismes, contrastes conformes, alternative tabulaire pour chaque graphique.</w:t>
      </w:r>
    </w:p>
    <w:p>
      <w:pPr>
        <w:pStyle w:val="Heading2"/>
      </w:pPr>
      <w:r>
        <w:t xml:space="preserve">6.2 Palette</w:t>
      </w:r>
    </w:p>
    <w:p>
      <w:pPr>
        <w:spacing w:after="120" w:line="276"/>
      </w:pPr>
      <w:r>
        <w:t xml:space="preserve">La palette catégorielle comporte </w:t>
      </w:r>
      <w:r>
        <w:rPr>
          <w:b/>
          <w:bCs/>
        </w:rPr>
        <w:t xml:space="preserve">8 teintes attribuées dans un ordre fixe</w:t>
      </w:r>
      <w:r>
        <w:t xml:space="preserve"> (jamais recyclées ; au-delà, regroupement « Autres »). Elle a été vérifiée avec un outil de contrôle des distances perceptuelles : séparation minimale entre teintes voisines ΔE 9,1 pour les daltonismes (cible ≥ 8) et 19,6 en vision normale (seuil ≥ 15). Trois teintes ayant un contraste inférieur à 3:1 sur fond clair, les étiquettes directes ou la vue tableau restent disponibles. Une couleur suit </w:t>
      </w:r>
      <w:r>
        <w:rPr>
          <w:b/>
          <w:bCs/>
        </w:rPr>
        <w:t xml:space="preserve">l’entité, pas son rang</w:t>
      </w:r>
      <w:r>
        <w:t xml:space="preserve"> : filtrer ne repeint pas les séries restantes.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2514600"/>
            <wp:effectExtent t="0" r="0" b="0" l="0"/>
            <wp:docPr id="1" name="palette" descr="palette" title="pale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C5B57"/>
          <w:sz w:val="17"/>
          <w:szCs w:val="17"/>
        </w:rPr>
        <w:t xml:space="preserve">Figure 16 — </w:t>
      </w:r>
      <w:r>
        <w:rPr>
          <w:i/>
          <w:iCs/>
          <w:color w:val="5C5B57"/>
          <w:sz w:val="17"/>
          <w:szCs w:val="17"/>
        </w:rPr>
        <w:t xml:space="preserve">Palette proposée : catégorielle (clair et sombre), séquentielle, divergente et statuts. Les couleurs de statut sont réservées et toujours accompagnées d’une icône ou d’un libellé.</w:t>
      </w:r>
    </w:p>
    <w:p>
      <w:pPr>
        <w:pStyle w:val="Heading2"/>
      </w:pPr>
      <w:r>
        <w:t xml:space="preserve">6.3 Jetons de design et anatomie d’une tuile</w:t>
      </w:r>
    </w:p>
    <w:p>
      <w:pPr>
        <w:keepNext/>
        <w:spacing w:after="80" w:before="120"/>
      </w:pPr>
      <w:r>
        <w:rPr>
          <w:b/>
          <w:bCs/>
          <w:color w:val="5C5B57"/>
          <w:sz w:val="17"/>
          <w:szCs w:val="17"/>
        </w:rPr>
        <w:t xml:space="preserve">Tableau 5 — </w:t>
      </w:r>
      <w:r>
        <w:rPr>
          <w:i/>
          <w:iCs/>
          <w:color w:val="5C5B57"/>
          <w:sz w:val="17"/>
          <w:szCs w:val="17"/>
        </w:rPr>
        <w:t xml:space="preserve">Jetons de design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7630"/>
      </w:tblGrid>
      <w:tr>
        <w:trPr>
          <w:tblHeader/>
        </w:trPr>
        <w:tc>
          <w:tcPr>
            <w:tcW w:type="dxa" w:w="200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6"/>
                <w:szCs w:val="16"/>
              </w:rPr>
              <w:t xml:space="preserve">Élément</w:t>
            </w:r>
          </w:p>
        </w:tc>
        <w:tc>
          <w:tcPr>
            <w:tcW w:type="dxa" w:w="763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6"/>
                <w:szCs w:val="16"/>
              </w:rPr>
              <w:t xml:space="preserve">Spécification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Typographie</w:t>
            </w:r>
          </w:p>
        </w:tc>
        <w:tc>
          <w:tcPr>
            <w:tcW w:type="dxa" w:w="763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Inter (ou police système de Grist) ; titre de tuile 13 px semi-gras ; description 11,5 px gris ; KPI 27 px gras, chiffres tabulaires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Tuile</w:t>
            </w:r>
          </w:p>
        </w:tc>
        <w:tc>
          <w:tcPr>
            <w:tcW w:type="dxa" w:w="763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Fond blanc, bordure 1 px #E6E5E1, rayon 12 px, marge interne 14 × 16 px, espacement de grille 14 px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Barres</w:t>
            </w:r>
          </w:p>
        </w:tc>
        <w:tc>
          <w:tcPr>
            <w:tcW w:type="dxa" w:w="763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Coins supérieurs arrondis 4 px, largeur max 34 px, écart de 2 px entre barres adjacentes ou segments empilés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Lignes et aires</w:t>
            </w:r>
          </w:p>
        </w:tc>
        <w:tc>
          <w:tcPr>
            <w:tcW w:type="dxa" w:w="763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Trait 2 px, points masqués sauf au survol (≥ 8 px), aire à 18 % d’opacité, lissage léger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Donut</w:t>
            </w:r>
          </w:p>
        </w:tc>
        <w:tc>
          <w:tcPr>
            <w:tcW w:type="dxa" w:w="763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Anneau 50–70 %, séparation 1,5°, coins arrondis, total au centre, étiquettes en valeur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Axes et grille</w:t>
            </w:r>
          </w:p>
        </w:tc>
        <w:tc>
          <w:tcPr>
            <w:tcW w:type="dxa" w:w="763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Pas de ligne d’axe ni de graduations ; grille horizontale #EEEDE9 ; libellés 11 px gris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Légende</w:t>
            </w:r>
          </w:p>
        </w:tc>
        <w:tc>
          <w:tcPr>
            <w:tcW w:type="dxa" w:w="763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Pastilles rondes 9 px, en haut à droite ; cliquable pour masquer une série ; absente pour une série unique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Infobulle</w:t>
            </w:r>
          </w:p>
        </w:tc>
        <w:tc>
          <w:tcPr>
            <w:tcW w:type="dxa" w:w="763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Fond blanc, rayon 8 px, ombre douce ; valeurs formatées en français ; ligne de repère verticale sur les séries temporelles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Nombres</w:t>
            </w:r>
          </w:p>
        </w:tc>
        <w:tc>
          <w:tcPr>
            <w:tcW w:type="dxa" w:w="763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Espace insécable pour les milliers, virgule décimale, abréviations « k€ », « M€ » ; pourcentages « 52 % »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Double axe</w:t>
            </w:r>
          </w:p>
        </w:tc>
        <w:tc>
          <w:tcPr>
            <w:tcW w:type="dxa" w:w="763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Désactivé par défaut (source fréquente de mauvaise lecture) ; autorisé uniquement pour le graphique combiné, avec avertissement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6.4 Mode sombre</w:t>
      </w:r>
    </w:p>
    <w:p>
      <w:pPr>
        <w:spacing w:after="120" w:line="276"/>
      </w:pPr>
      <w:r>
        <w:t xml:space="preserve">Le widget suit le thème de Grist (clair / sombre) transmis par l’API des widgets. Les couleurs du mode sombre ne sont </w:t>
      </w:r>
      <w:r>
        <w:rPr>
          <w:b/>
          <w:bCs/>
        </w:rPr>
        <w:t xml:space="preserve">pas une inversion automatique</w:t>
      </w:r>
      <w:r>
        <w:t xml:space="preserve"> : ce sont les mêmes teintes, recalées pour la surface sombre et vérifiées séparément.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3514725"/>
            <wp:effectExtent t="0" r="0" b="0" l="0"/>
            <wp:docPr id="1" name="dark" descr="dark" title="d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C5B57"/>
          <w:sz w:val="17"/>
          <w:szCs w:val="17"/>
        </w:rPr>
        <w:t xml:space="preserve">Figure 17 — </w:t>
      </w:r>
      <w:r>
        <w:rPr>
          <w:i/>
          <w:iCs/>
          <w:color w:val="5C5B57"/>
          <w:sz w:val="17"/>
          <w:szCs w:val="17"/>
        </w:rPr>
        <w:t xml:space="preserve">Le même tableau de bord en mode sombre (maquette).</w:t>
      </w:r>
    </w:p>
    <w:p>
      <w:pPr>
        <w:pStyle w:val="Heading2"/>
      </w:pPr>
      <w:r>
        <w:t xml:space="preserve">6.5 Accessibilité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Conformité visée </w:t>
      </w:r>
      <w:r>
        <w:rPr>
          <w:b/>
          <w:bCs/>
        </w:rPr>
        <w:t xml:space="preserve">RGAA 4.1 / WCAG 2.1 AA</w:t>
      </w:r>
      <w:r>
        <w:t xml:space="preserve"> pour l’interface du widget (navigation au clavier, focus visible, libellés des contrôles).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Graphiques : description ARIA générée par ECharts (</w:t>
      </w:r>
      <w:r>
        <w:rPr>
          <w:rFonts w:ascii="Consolas" w:cs="Consolas" w:eastAsia="Consolas" w:hAnsi="Consolas"/>
          <w:color w:val="0E7A54"/>
          <w:sz w:val="18"/>
          <w:szCs w:val="18"/>
        </w:rPr>
        <w:t xml:space="preserve">aria.enabled</w:t>
      </w:r>
      <w:r>
        <w:t xml:space="preserve">), motifs de remplissage optionnels (</w:t>
      </w:r>
      <w:r>
        <w:rPr>
          <w:rFonts w:ascii="Consolas" w:cs="Consolas" w:eastAsia="Consolas" w:hAnsi="Consolas"/>
          <w:color w:val="0E7A54"/>
          <w:sz w:val="18"/>
          <w:szCs w:val="18"/>
        </w:rPr>
        <w:t xml:space="preserve">aria.decal</w:t>
      </w:r>
      <w:r>
        <w:t xml:space="preserve">) pour l’impression et les daltonismes, et </w:t>
      </w:r>
      <w:r>
        <w:rPr>
          <w:b/>
          <w:bCs/>
        </w:rPr>
        <w:t xml:space="preserve">vue tableau</w:t>
      </w:r>
      <w:r>
        <w:t xml:space="preserve"> accessible pour chaque tuile.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L’identité d’une série n’est jamais portée par la seule couleur : légende pour 2 séries ou plus, étiquettes directes jusqu’à 4 séries.</w:t>
      </w:r>
    </w:p>
    <w:p>
      <w:pPr>
        <w:pStyle w:val="Heading1"/>
        <w:spacing w:after="200" w:before="400"/>
      </w:pPr>
      <w:r>
        <w:t xml:space="preserve">7. Exigences non fonctionnelles</w:t>
      </w:r>
    </w:p>
    <w:p>
      <w:pPr>
        <w:keepNext/>
        <w:spacing w:after="80" w:before="120"/>
      </w:pPr>
      <w:r>
        <w:rPr>
          <w:b/>
          <w:bCs/>
          <w:color w:val="5C5B57"/>
          <w:sz w:val="17"/>
          <w:szCs w:val="17"/>
        </w:rPr>
        <w:t xml:space="preserve">Tableau 6 — </w:t>
      </w:r>
      <w:r>
        <w:rPr>
          <w:i/>
          <w:iCs/>
          <w:color w:val="5C5B57"/>
          <w:sz w:val="17"/>
          <w:szCs w:val="17"/>
        </w:rPr>
        <w:t xml:space="preserve">Exigences non fonctionnelles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7"/>
        <w:gridCol w:w="4417"/>
        <w:gridCol w:w="3514"/>
      </w:tblGrid>
      <w:tr>
        <w:trPr>
          <w:tblHeader/>
        </w:trPr>
        <w:tc>
          <w:tcPr>
            <w:tcW w:type="dxa" w:w="170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6"/>
                <w:szCs w:val="16"/>
              </w:rPr>
              <w:t xml:space="preserve">Domaine</w:t>
            </w:r>
          </w:p>
        </w:tc>
        <w:tc>
          <w:tcPr>
            <w:tcW w:type="dxa" w:w="441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6"/>
                <w:szCs w:val="16"/>
              </w:rPr>
              <w:t xml:space="preserve">Exigence</w:t>
            </w:r>
          </w:p>
        </w:tc>
        <w:tc>
          <w:tcPr>
            <w:tcW w:type="dxa" w:w="351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6"/>
                <w:szCs w:val="16"/>
              </w:rPr>
              <w:t xml:space="preserve">Critère de mesure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441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Premier affichage d’un tableau de bord de 8 tuiles sur 10 000 lignes</w:t>
            </w:r>
          </w:p>
        </w:tc>
        <w:tc>
          <w:tcPr>
            <w:tcW w:type="dxa" w:w="351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&lt; 1,5 s sur un poste standard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</w:p>
        </w:tc>
        <w:tc>
          <w:tcPr>
            <w:tcW w:type="dxa" w:w="441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Mise à jour après modification d’une cellule</w:t>
            </w:r>
          </w:p>
        </w:tc>
        <w:tc>
          <w:tcPr>
            <w:tcW w:type="dxa" w:w="351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&lt; 1 s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Compatibilité</w:t>
            </w:r>
          </w:p>
        </w:tc>
        <w:tc>
          <w:tcPr>
            <w:tcW w:type="dxa" w:w="441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Navigateurs</w:t>
            </w:r>
          </w:p>
        </w:tc>
        <w:tc>
          <w:tcPr>
            <w:tcW w:type="dxa" w:w="351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Dernières versions de Chrome, Edge, Firefox, Safari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</w:p>
        </w:tc>
        <w:tc>
          <w:tcPr>
            <w:tcW w:type="dxa" w:w="441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Grist</w:t>
            </w:r>
          </w:p>
        </w:tc>
        <w:tc>
          <w:tcPr>
            <w:tcW w:type="dxa" w:w="351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grist-core ≥ 1.7 auto-hébergé et Grist SaaS ; installation par la liste de widgets (</w:t>
            </w:r>
            <w:r>
              <w:rPr>
                <w:rFonts w:ascii="Consolas" w:cs="Consolas" w:eastAsia="Consolas" w:hAnsi="Consolas"/>
                <w:color w:val="0E7A54"/>
                <w:sz w:val="14"/>
                <w:szCs w:val="14"/>
              </w:rPr>
              <w:t xml:space="preserve">GRIST_WIDGET_LIST_URL</w:t>
            </w:r>
            <w:r>
              <w:rPr>
                <w:color w:val="1D1D1B"/>
                <w:sz w:val="16"/>
                <w:szCs w:val="16"/>
              </w:rPr>
              <w:t xml:space="preserve">) ou par URL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Sécurité</w:t>
            </w:r>
          </w:p>
        </w:tc>
        <w:tc>
          <w:tcPr>
            <w:tcW w:type="dxa" w:w="441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Exécution</w:t>
            </w:r>
          </w:p>
        </w:tc>
        <w:tc>
          <w:tcPr>
            <w:tcW w:type="dxa" w:w="351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Widget isolé dans l’iframe Grist ; aucune requête vers un service tiers ; aucune librairie chargée depuis un CDN en production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</w:p>
        </w:tc>
        <w:tc>
          <w:tcPr>
            <w:tcW w:type="dxa" w:w="441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Droits</w:t>
            </w:r>
          </w:p>
        </w:tc>
        <w:tc>
          <w:tcPr>
            <w:tcW w:type="dxa" w:w="351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Lecture avec les droits de l’utilisateur ; écriture limitée aux options du widget, réservée aux éditeurs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Localisation</w:t>
            </w:r>
          </w:p>
        </w:tc>
        <w:tc>
          <w:tcPr>
            <w:tcW w:type="dxa" w:w="441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Langues</w:t>
            </w:r>
          </w:p>
        </w:tc>
        <w:tc>
          <w:tcPr>
            <w:tcW w:type="dxa" w:w="351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Français et anglais, selon la langue de l’interface Grist ; formats selon la locale du document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Licence</w:t>
            </w:r>
          </w:p>
        </w:tc>
        <w:tc>
          <w:tcPr>
            <w:tcW w:type="dxa" w:w="441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Distribution</w:t>
            </w:r>
          </w:p>
        </w:tc>
        <w:tc>
          <w:tcPr>
            <w:tcW w:type="dxa" w:w="351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Code sous Apache 2.0, publiable dans le dépôt de widgets Grist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Qualité</w:t>
            </w:r>
          </w:p>
        </w:tc>
        <w:tc>
          <w:tcPr>
            <w:tcW w:type="dxa" w:w="441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Tests</w:t>
            </w:r>
          </w:p>
        </w:tc>
        <w:tc>
          <w:tcPr>
            <w:tcW w:type="dxa" w:w="351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Tests unitaires du pipeline d’agrégation (&gt; 80 %), tests de rendu visuel (captures) par type de graphique, tests de bout en bout dans grist-core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Maintenabilité</w:t>
            </w:r>
          </w:p>
        </w:tc>
        <w:tc>
          <w:tcPr>
            <w:tcW w:type="dxa" w:w="441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Code</w:t>
            </w:r>
          </w:p>
        </w:tc>
        <w:tc>
          <w:tcPr>
            <w:tcW w:type="dxa" w:w="351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AFA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TypeScript strict, un module par famille de graphique, schéma de configuration versionné et migrable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7.1 Architecture technique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Interface</w:t>
      </w:r>
      <w:r>
        <w:t xml:space="preserve"> : TypeScript, React 18 et Mantine (comme le prototype Rath), compilés avec Vite en un bundle statique autonome.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Rendu</w:t>
      </w:r>
      <w:r>
        <w:t xml:space="preserve"> : ECharts 6 en import modulaire (seuls les graphiques utilisés sont chargés), rendu SVG par défaut.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Grille</w:t>
      </w:r>
      <w:r>
        <w:t xml:space="preserve"> : </w:t>
      </w:r>
      <w:r>
        <w:rPr>
          <w:rFonts w:ascii="Consolas" w:cs="Consolas" w:eastAsia="Consolas" w:hAnsi="Consolas"/>
          <w:color w:val="0E7A54"/>
          <w:sz w:val="18"/>
          <w:szCs w:val="18"/>
        </w:rPr>
        <w:t xml:space="preserve">react-grid-layout</w:t>
      </w:r>
      <w:r>
        <w:t xml:space="preserve"> (licence MIT) pour le glisser-déposer et le redimensionnement.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Données</w:t>
      </w:r>
      <w:r>
        <w:t xml:space="preserve"> : </w:t>
      </w:r>
      <w:r>
        <w:rPr>
          <w:rFonts w:ascii="Consolas" w:cs="Consolas" w:eastAsia="Consolas" w:hAnsi="Consolas"/>
          <w:color w:val="0E7A54"/>
          <w:sz w:val="18"/>
          <w:szCs w:val="18"/>
        </w:rPr>
        <w:t xml:space="preserve">grist-plugin-api</w:t>
      </w:r>
      <w:r>
        <w:t xml:space="preserve"> (</w:t>
      </w:r>
      <w:r>
        <w:rPr>
          <w:rFonts w:ascii="Consolas" w:cs="Consolas" w:eastAsia="Consolas" w:hAnsi="Consolas"/>
          <w:color w:val="0E7A54"/>
          <w:sz w:val="18"/>
          <w:szCs w:val="18"/>
        </w:rPr>
        <w:t xml:space="preserve">fetchTable</w:t>
      </w:r>
      <w:r>
        <w:t xml:space="preserve">, </w:t>
      </w:r>
      <w:r>
        <w:rPr>
          <w:rFonts w:ascii="Consolas" w:cs="Consolas" w:eastAsia="Consolas" w:hAnsi="Consolas"/>
          <w:color w:val="0E7A54"/>
          <w:sz w:val="18"/>
          <w:szCs w:val="18"/>
        </w:rPr>
        <w:t xml:space="preserve">onRecords</w:t>
      </w:r>
      <w:r>
        <w:t xml:space="preserve">, </w:t>
      </w:r>
      <w:r>
        <w:rPr>
          <w:rFonts w:ascii="Consolas" w:cs="Consolas" w:eastAsia="Consolas" w:hAnsi="Consolas"/>
          <w:color w:val="0E7A54"/>
          <w:sz w:val="18"/>
          <w:szCs w:val="18"/>
        </w:rPr>
        <w:t xml:space="preserve">onOptions</w:t>
      </w:r>
      <w:r>
        <w:t xml:space="preserve">, </w:t>
      </w:r>
      <w:r>
        <w:rPr>
          <w:rFonts w:ascii="Consolas" w:cs="Consolas" w:eastAsia="Consolas" w:hAnsi="Consolas"/>
          <w:color w:val="0E7A54"/>
          <w:sz w:val="18"/>
          <w:szCs w:val="18"/>
        </w:rPr>
        <w:t xml:space="preserve">setOptions</w:t>
      </w:r>
      <w:r>
        <w:t xml:space="preserve">, </w:t>
      </w:r>
      <w:r>
        <w:rPr>
          <w:rFonts w:ascii="Consolas" w:cs="Consolas" w:eastAsia="Consolas" w:hAnsi="Consolas"/>
          <w:color w:val="0E7A54"/>
          <w:sz w:val="18"/>
          <w:szCs w:val="18"/>
        </w:rPr>
        <w:t xml:space="preserve">setCursorPos</w:t>
      </w:r>
      <w:r>
        <w:t xml:space="preserve">, </w:t>
      </w:r>
      <w:r>
        <w:rPr>
          <w:rFonts w:ascii="Consolas" w:cs="Consolas" w:eastAsia="Consolas" w:hAnsi="Consolas"/>
          <w:color w:val="0E7A54"/>
          <w:sz w:val="18"/>
          <w:szCs w:val="18"/>
        </w:rPr>
        <w:t xml:space="preserve">setSelectedRows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Modules</w:t>
      </w:r>
      <w:r>
        <w:t xml:space="preserve"> : couche données (lecture, typage, cache) → moteur de requête (filtres, regroupements, agrégations) → registre des visualisations → constructeurs d’options ECharts → interface de réglages.</w:t>
      </w:r>
    </w:p>
    <w:p>
      <w:pPr>
        <w:spacing w:after="120" w:line="276"/>
      </w:pPr>
      <w:r>
        <w:t xml:space="preserve">Exemple de configuration enregistrée dans les options du widget :</w:t>
      </w:r>
    </w:p>
    <w:p>
      <w:pPr>
        <w:keepNext/>
        <w:keepLines/>
        <w:pBdr>
          <w:top w:val="single" w:color="D4D3CE" w:sz="4" w:space="4"/>
        </w:pBdr>
        <w:shd w:fill="F4F4F1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D1D1B"/>
          <w:sz w:val="16"/>
          <w:szCs w:val="16"/>
        </w:rPr>
        <w:t xml:space="preserve">{</w:t>
      </w:r>
    </w:p>
    <w:p>
      <w:pPr>
        <w:keepNext/>
        <w:keepLines/>
        <w:shd w:fill="F4F4F1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D1D1B"/>
          <w:sz w:val="16"/>
          <w:szCs w:val="16"/>
        </w:rPr>
        <w:t xml:space="preserve">  "version": 1,</w:t>
      </w:r>
    </w:p>
    <w:p>
      <w:pPr>
        <w:keepNext/>
        <w:keepLines/>
        <w:shd w:fill="F4F4F1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D1D1B"/>
          <w:sz w:val="16"/>
          <w:szCs w:val="16"/>
        </w:rPr>
        <w:t xml:space="preserve">  "title": "Pilotage des projets",</w:t>
      </w:r>
    </w:p>
    <w:p>
      <w:pPr>
        <w:keepNext/>
        <w:keepLines/>
        <w:shd w:fill="F4F4F1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D1D1B"/>
          <w:sz w:val="16"/>
          <w:szCs w:val="16"/>
        </w:rPr>
        <w:t xml:space="preserve">  "filters": [{ "id": "periode", "type": "dateRange", "targets": { "Demandes": "Mois", "Projets": "Debut" } }],</w:t>
      </w:r>
    </w:p>
    <w:p>
      <w:pPr>
        <w:keepNext/>
        <w:keepLines/>
        <w:shd w:fill="F4F4F1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D1D1B"/>
          <w:sz w:val="16"/>
          <w:szCs w:val="16"/>
        </w:rPr>
        <w:t xml:space="preserve">  "tiles": [{</w:t>
      </w:r>
    </w:p>
    <w:p>
      <w:pPr>
        <w:keepNext/>
        <w:keepLines/>
        <w:shd w:fill="F4F4F1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D1D1B"/>
          <w:sz w:val="16"/>
          <w:szCs w:val="16"/>
        </w:rPr>
        <w:t xml:space="preserve">    "id": "t2", "type": "bar", "layout": { "x": 0, "y": 1, "w": 8, "h": 4 },</w:t>
      </w:r>
    </w:p>
    <w:p>
      <w:pPr>
        <w:keepNext/>
        <w:keepLines/>
        <w:shd w:fill="F4F4F1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D1D1B"/>
          <w:sz w:val="16"/>
          <w:szCs w:val="16"/>
        </w:rPr>
        <w:t xml:space="preserve">    "title": "Budget vs consommé par direction",</w:t>
      </w:r>
    </w:p>
    <w:p>
      <w:pPr>
        <w:keepNext/>
        <w:keepLines/>
        <w:shd w:fill="F4F4F1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D1D1B"/>
          <w:sz w:val="16"/>
          <w:szCs w:val="16"/>
        </w:rPr>
        <w:t xml:space="preserve">    "data": { "table": "Projets", "dimension": "Direction",</w:t>
      </w:r>
    </w:p>
    <w:p>
      <w:pPr>
        <w:keepNext/>
        <w:keepLines/>
        <w:shd w:fill="F4F4F1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D1D1B"/>
          <w:sz w:val="16"/>
          <w:szCs w:val="16"/>
        </w:rPr>
        <w:t xml:space="preserve">              "measures": [{ "col": "Budget", "agg": "sum" }, { "col": "Consomme", "agg": "sum" }],</w:t>
      </w:r>
    </w:p>
    <w:p>
      <w:pPr>
        <w:keepNext/>
        <w:keepLines/>
        <w:shd w:fill="F4F4F1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D1D1B"/>
          <w:sz w:val="16"/>
          <w:szCs w:val="16"/>
        </w:rPr>
        <w:t xml:space="preserve">              "sort": { "by": "value", "dir": "desc" }, "followGlobalFilters": true },</w:t>
      </w:r>
    </w:p>
    <w:p>
      <w:pPr>
        <w:keepNext/>
        <w:keepLines/>
        <w:shd w:fill="F4F4F1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D1D1B"/>
          <w:sz w:val="16"/>
          <w:szCs w:val="16"/>
        </w:rPr>
        <w:t xml:space="preserve">    "display": { "stack": "none", "goal": { "value": 1500000, "label": "Objectif 1,5 M€" } },</w:t>
      </w:r>
    </w:p>
    <w:p>
      <w:pPr>
        <w:keepNext/>
        <w:keepLines/>
        <w:shd w:fill="F4F4F1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D1D1B"/>
          <w:sz w:val="16"/>
          <w:szCs w:val="16"/>
        </w:rPr>
        <w:t xml:space="preserve">    "interactions": { "click": "crossFilter" }</w:t>
      </w:r>
    </w:p>
    <w:p>
      <w:pPr>
        <w:keepNext/>
        <w:keepLines/>
        <w:shd w:fill="F4F4F1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D1D1B"/>
          <w:sz w:val="16"/>
          <w:szCs w:val="16"/>
        </w:rPr>
        <w:t xml:space="preserve">  }]</w:t>
      </w:r>
    </w:p>
    <w:p>
      <w:pPr>
        <w:keepNext w:val="false"/>
        <w:keepLines/>
        <w:pBdr>
          <w:bottom w:val="single" w:color="D4D3CE" w:sz="4" w:space="4"/>
        </w:pBdr>
        <w:shd w:fill="F4F4F1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D1D1B"/>
          <w:sz w:val="16"/>
          <w:szCs w:val="16"/>
        </w:rPr>
        <w:t xml:space="preserve">}</w:t>
      </w:r>
    </w:p>
    <w:p>
      <w:pPr>
        <w:pStyle w:val="Heading1"/>
        <w:pageBreakBefore/>
      </w:pPr>
      <w:r>
        <w:t xml:space="preserve">8. Lotissement, planning et risques</w:t>
      </w:r>
    </w:p>
    <w:p>
      <w:pPr>
        <w:keepNext/>
        <w:spacing w:after="80" w:before="120"/>
      </w:pPr>
      <w:r>
        <w:rPr>
          <w:b/>
          <w:bCs/>
          <w:color w:val="5C5B57"/>
          <w:sz w:val="17"/>
          <w:szCs w:val="17"/>
        </w:rPr>
        <w:t xml:space="preserve">Tableau 7 — </w:t>
      </w:r>
      <w:r>
        <w:rPr>
          <w:i/>
          <w:iCs/>
          <w:color w:val="5C5B57"/>
          <w:sz w:val="17"/>
          <w:szCs w:val="17"/>
        </w:rPr>
        <w:t xml:space="preserve">Lotissement indicatif (charges en jours-personne, développeur front-end confirmé)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5"/>
        <w:gridCol w:w="4719"/>
        <w:gridCol w:w="1406"/>
        <w:gridCol w:w="2208"/>
      </w:tblGrid>
      <w:tr>
        <w:trPr>
          <w:tblHeader/>
        </w:trPr>
        <w:tc>
          <w:tcPr>
            <w:tcW w:type="dxa" w:w="13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6"/>
                <w:szCs w:val="16"/>
              </w:rPr>
              <w:t xml:space="preserve">Lot</w:t>
            </w:r>
          </w:p>
        </w:tc>
        <w:tc>
          <w:tcPr>
            <w:tcW w:type="dxa" w:w="471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6"/>
                <w:szCs w:val="16"/>
              </w:rPr>
              <w:t xml:space="preserve">Contenu</w:t>
            </w:r>
          </w:p>
        </w:tc>
        <w:tc>
          <w:tcPr>
            <w:tcW w:type="dxa" w:w="14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6"/>
                <w:szCs w:val="16"/>
              </w:rPr>
              <w:t xml:space="preserve">Charge estimée</w:t>
            </w:r>
          </w:p>
        </w:tc>
        <w:tc>
          <w:tcPr>
            <w:tcW w:type="dxa" w:w="220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6"/>
                <w:szCs w:val="16"/>
              </w:rPr>
              <w:t xml:space="preserve">Livrable</w:t>
            </w:r>
          </w:p>
        </w:tc>
      </w:tr>
      <w:tr>
        <w:trPr>
          <w:cantSplit/>
        </w:trPr>
        <w:tc>
          <w:tcPr>
            <w:tcW w:type="dxa" w:w="13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0. Cadrage</w:t>
            </w:r>
          </w:p>
        </w:tc>
        <w:tc>
          <w:tcPr>
            <w:tcW w:type="dxa" w:w="471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Validation du cahier des charges, maquettes détaillées, schéma de configuration</w:t>
            </w:r>
          </w:p>
        </w:tc>
        <w:tc>
          <w:tcPr>
            <w:tcW w:type="dxa" w:w="14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5 j</w:t>
            </w:r>
          </w:p>
        </w:tc>
        <w:tc>
          <w:tcPr>
            <w:tcW w:type="dxa" w:w="220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Maquettes validées</w:t>
            </w:r>
          </w:p>
        </w:tc>
      </w:tr>
      <w:tr>
        <w:trPr>
          <w:cantSplit/>
        </w:trPr>
        <w:tc>
          <w:tcPr>
            <w:tcW w:type="dxa" w:w="13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1. MVP</w:t>
            </w:r>
          </w:p>
        </w:tc>
        <w:tc>
          <w:tcPr>
            <w:tcW w:type="dxa" w:w="471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Grille 12 colonnes, modes lecture/édition, KPI + tendance, barres, lignes, aires, donut, tableau, texte ; panneau Données/Affichage ; filtre période</w:t>
            </w:r>
          </w:p>
        </w:tc>
        <w:tc>
          <w:tcPr>
            <w:tcW w:type="dxa" w:w="14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35 j</w:t>
            </w:r>
          </w:p>
        </w:tc>
        <w:tc>
          <w:tcPr>
            <w:tcW w:type="dxa" w:w="220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Widget installable, document de démonstration</w:t>
            </w:r>
          </w:p>
        </w:tc>
      </w:tr>
      <w:tr>
        <w:trPr>
          <w:cantSplit/>
        </w:trPr>
        <w:tc>
          <w:tcPr>
            <w:tcW w:type="dxa" w:w="13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2. V1</w:t>
            </w:r>
          </w:p>
        </w:tc>
        <w:tc>
          <w:tcPr>
            <w:tcW w:type="dxa" w:w="471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Filtres globaux complets, filtre croisé, retour aux enregistrements, jauge, progression, combiné, treemap, nuage, tableau croisé ; onglet Axes ; export PNG/SVG/CSV ; mode sombre</w:t>
            </w:r>
          </w:p>
        </w:tc>
        <w:tc>
          <w:tcPr>
            <w:tcW w:type="dxa" w:w="14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30 j</w:t>
            </w:r>
          </w:p>
        </w:tc>
        <w:tc>
          <w:tcPr>
            <w:tcW w:type="dxa" w:w="220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Version publiable dans la galerie de widgets</w:t>
            </w:r>
          </w:p>
        </w:tc>
      </w:tr>
      <w:tr>
        <w:trPr>
          <w:cantSplit/>
        </w:trPr>
        <w:tc>
          <w:tcPr>
            <w:tcW w:type="dxa" w:w="13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3. V2</w:t>
            </w:r>
          </w:p>
        </w:tc>
        <w:tc>
          <w:tcPr>
            <w:tcW w:type="dxa" w:w="471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Cascade, entonnoir, Sankey, heatmap, calendrier, boîte à moustaches, carte choroplèthe ; sections et onglets ; impression PDF ; mode présentation</w:t>
            </w:r>
          </w:p>
        </w:tc>
        <w:tc>
          <w:tcPr>
            <w:tcW w:type="dxa" w:w="14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25 j</w:t>
            </w:r>
          </w:p>
        </w:tc>
        <w:tc>
          <w:tcPr>
            <w:tcW w:type="dxa" w:w="220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Version complète</w:t>
            </w:r>
          </w:p>
        </w:tc>
      </w:tr>
      <w:tr>
        <w:trPr>
          <w:cantSplit/>
        </w:trPr>
        <w:tc>
          <w:tcPr>
            <w:tcW w:type="dxa" w:w="13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Transverse</w:t>
            </w:r>
          </w:p>
        </w:tc>
        <w:tc>
          <w:tcPr>
            <w:tcW w:type="dxa" w:w="471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Accessibilité, tests, documentation utilisateur FR/EN, recette</w:t>
            </w:r>
          </w:p>
        </w:tc>
        <w:tc>
          <w:tcPr>
            <w:tcW w:type="dxa" w:w="14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15 j</w:t>
            </w:r>
          </w:p>
        </w:tc>
        <w:tc>
          <w:tcPr>
            <w:tcW w:type="dxa" w:w="220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Rapport de recette, guide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Total indicatif : </w:t>
      </w:r>
      <w:r>
        <w:rPr>
          <w:b/>
          <w:bCs/>
        </w:rPr>
        <w:t xml:space="preserve">≈ 110 jours-personne</w:t>
      </w:r>
      <w:r>
        <w:t xml:space="preserve">, soit environ 5 à 6 mois pour un développeur, ou 3 mois pour un binôme développeur + designer. La réutilisation du prototype Rath réduit le risque et la charge des lots 1 et 2.</w:t>
      </w:r>
    </w:p>
    <w:p>
      <w:pPr>
        <w:keepNext/>
        <w:spacing w:after="80" w:before="120"/>
      </w:pPr>
      <w:r>
        <w:rPr>
          <w:b/>
          <w:bCs/>
          <w:color w:val="5C5B57"/>
          <w:sz w:val="17"/>
          <w:szCs w:val="17"/>
        </w:rPr>
        <w:t xml:space="preserve">Tableau 8 — </w:t>
      </w:r>
      <w:r>
        <w:rPr>
          <w:i/>
          <w:iCs/>
          <w:color w:val="5C5B57"/>
          <w:sz w:val="17"/>
          <w:szCs w:val="17"/>
        </w:rPr>
        <w:t xml:space="preserve">Principaux risques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1004"/>
        <w:gridCol w:w="5020"/>
      </w:tblGrid>
      <w:tr>
        <w:trPr>
          <w:tblHeader/>
        </w:trPr>
        <w:tc>
          <w:tcPr>
            <w:tcW w:type="dxa" w:w="361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6"/>
                <w:szCs w:val="16"/>
              </w:rPr>
              <w:t xml:space="preserve">Risque</w:t>
            </w:r>
          </w:p>
        </w:tc>
        <w:tc>
          <w:tcPr>
            <w:tcW w:type="dxa" w:w="100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6"/>
                <w:szCs w:val="16"/>
              </w:rPr>
              <w:t xml:space="preserve">Impact</w:t>
            </w:r>
          </w:p>
        </w:tc>
        <w:tc>
          <w:tcPr>
            <w:tcW w:type="dxa" w:w="50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E6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b/>
                <w:bCs/>
                <w:color w:val="0E7A54"/>
                <w:sz w:val="16"/>
                <w:szCs w:val="16"/>
              </w:rPr>
              <w:t xml:space="preserve">Mesure de réduction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Performance sur de gros volumes (agrégation dans le navigateur)</w:t>
            </w:r>
          </w:p>
        </w:tc>
        <w:tc>
          <w:tcPr>
            <w:tcW w:type="dxa" w:w="100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Moyen</w:t>
            </w:r>
          </w:p>
        </w:tc>
        <w:tc>
          <w:tcPr>
            <w:tcW w:type="dxa" w:w="50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Échantillonnage ECharts, mise en cache, recommandation des tables récapitulatives au-delà de 100 000 lignes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Accès « document complet » jugé trop large par certains administrateurs</w:t>
            </w:r>
          </w:p>
        </w:tc>
        <w:tc>
          <w:tcPr>
            <w:tcW w:type="dxa" w:w="100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Moyen</w:t>
            </w:r>
          </w:p>
        </w:tc>
        <w:tc>
          <w:tcPr>
            <w:tcW w:type="dxa" w:w="50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Mode dégradé à une seule table avec l’accès « lecture de la table sélectionnée »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Évolution de l’API des widgets Grist</w:t>
            </w:r>
          </w:p>
        </w:tc>
        <w:tc>
          <w:tcPr>
            <w:tcW w:type="dxa" w:w="100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Faible</w:t>
            </w:r>
          </w:p>
        </w:tc>
        <w:tc>
          <w:tcPr>
            <w:tcW w:type="dxa" w:w="50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Couche d’accès aux données isolée, tests de bout en bout sur chaque version de grist-core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Dérive du périmètre vers un outil de BI</w:t>
            </w:r>
          </w:p>
        </w:tc>
        <w:tc>
          <w:tcPr>
            <w:tcW w:type="dxa" w:w="100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Élevé</w:t>
            </w:r>
          </w:p>
        </w:tc>
        <w:tc>
          <w:tcPr>
            <w:tcW w:type="dxa" w:w="50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Catalogue figé par lot, arbitrage en comité ; pas de SQL libre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Taille du bundle</w:t>
            </w:r>
          </w:p>
        </w:tc>
        <w:tc>
          <w:tcPr>
            <w:tcW w:type="dxa" w:w="100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Faible</w:t>
            </w:r>
          </w:p>
        </w:tc>
        <w:tc>
          <w:tcPr>
            <w:tcW w:type="dxa" w:w="50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0"/>
            </w:pPr>
            <w:r>
              <w:rPr>
                <w:color w:val="1D1D1B"/>
                <w:sz w:val="16"/>
                <w:szCs w:val="16"/>
              </w:rPr>
              <w:t xml:space="preserve">Import modulaire d’ECharts, chargement différé des types avancés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8.1 Critères d’acceptation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Un concepteur crée, sans documentation, un tableau de bord de 4 KPI et 3 graphiques en </w:t>
      </w:r>
      <w:r>
        <w:rPr>
          <w:b/>
          <w:bCs/>
        </w:rPr>
        <w:t xml:space="preserve">moins de 10 minutes</w:t>
      </w:r>
      <w:r>
        <w:t xml:space="preserve"> (test utilisateur sur 5 personnes).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Les valeurs affichées sont </w:t>
      </w:r>
      <w:r>
        <w:rPr>
          <w:b/>
          <w:bCs/>
        </w:rPr>
        <w:t xml:space="preserve">identiques</w:t>
      </w:r>
      <w:r>
        <w:t xml:space="preserve"> à celles calculées par une table récapitulative Grist sur le même jeu de données (tests automatisés).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Une modification de cellule est répercutée dans les tuiles concernées en moins d’une seconde.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Un utilisateur soumis à une règle d’accès ne voit dans le tableau de bord </w:t>
      </w:r>
      <w:r>
        <w:rPr>
          <w:b/>
          <w:bCs/>
        </w:rPr>
        <w:t xml:space="preserve">que les données auxquelles il a droit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Le tableau de bord se copie avec le document, survit à un export/import </w:t>
      </w:r>
      <w:r>
        <w:rPr>
          <w:rFonts w:ascii="Consolas" w:cs="Consolas" w:eastAsia="Consolas" w:hAnsi="Consolas"/>
          <w:color w:val="0E7A54"/>
          <w:sz w:val="18"/>
          <w:szCs w:val="18"/>
        </w:rPr>
        <w:t xml:space="preserve">.grist</w:t>
      </w:r>
      <w:r>
        <w:t xml:space="preserve"> et à une restauration d’instantané.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Audit d’accessibilité sans non-conformité bloquante ; contrôle de la palette en clair et en sombre.</w:t>
      </w:r>
    </w:p>
    <w:p>
      <w:pPr>
        <w:pStyle w:val="Heading1"/>
        <w:spacing w:after="200" w:before="400"/>
      </w:pPr>
      <w:r>
        <w:t xml:space="preserve">Annexe A — Captures complémentaires du prototype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9"/>
        <w:gridCol w:w="200"/>
        <w:gridCol w:w="4719"/>
      </w:tblGrid>
      <w:tr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905125" cy="1819275"/>
                  <wp:effectExtent t="0" r="0" b="0" l="0"/>
                  <wp:docPr id="1" name="rath_picker" descr="rath_picker" title="rath_pick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color w:val="5C5B57"/>
                <w:sz w:val="16"/>
                <w:szCs w:val="16"/>
              </w:rPr>
              <w:t xml:space="preserve">Figure 18 — </w:t>
            </w:r>
            <w:r>
              <w:rPr>
                <w:i/>
                <w:iCs/>
                <w:color w:val="5C5B57"/>
                <w:sz w:val="16"/>
                <w:szCs w:val="16"/>
              </w:rPr>
              <w:t xml:space="preserve">Prototype Rath — sélecteur de visualisation (types principaux et « Autres graphiques »).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905125" cy="1819275"/>
                  <wp:effectExtent t="0" r="0" b="0" l="0"/>
                  <wp:docPr id="1" name="rath_axes" descr="rath_axes" title="rath_ax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color w:val="5C5B57"/>
                <w:sz w:val="16"/>
                <w:szCs w:val="16"/>
              </w:rPr>
              <w:t xml:space="preserve">Figure 19 — </w:t>
            </w:r>
            <w:r>
              <w:rPr>
                <w:i/>
                <w:iCs/>
                <w:color w:val="5C5B57"/>
                <w:sz w:val="16"/>
                <w:szCs w:val="16"/>
              </w:rPr>
              <w:t xml:space="preserve">Prototype Rath — onglet « Axes » : libellés, échelle linéaire / logarithmique, plage, graduations.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Annexe B — Sources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Notion, centre d’aide : « Chart view » (notion.com/help/charts) et « Dashboards view » (notion.com/help/dashboards).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Airtable, support : « Airtable interface layout: Dashboard » ; page produit Interface Designer (airtable.com/platform/interface-designer).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NocoDB, documentation : « Dashboards » et « Widgets » ; journal des versions 2025.07.0.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Metabase, documentation : « Visualizing results », « Line, bar and area charts », « Dashboards introduction » ; dépôt github.com/metabase/metabase (dépendance echarts 6.1.0).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Apache ECharts, documentation et exemples (echarts.apache.org).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grist-core (code source, </w:t>
      </w:r>
      <w:r>
        <w:rPr>
          <w:rFonts w:ascii="Consolas" w:cs="Consolas" w:eastAsia="Consolas" w:hAnsi="Consolas"/>
          <w:color w:val="0E7A54"/>
          <w:sz w:val="18"/>
          <w:szCs w:val="18"/>
        </w:rPr>
        <w:t xml:space="preserve">app/client/components/ChartView.ts</w:t>
      </w:r>
      <w:r>
        <w:t xml:space="preserve">, dépendance plotly.js-basic-dist 2.13.2) ; manifeste des widgets Grist (gristlabs/grist-widget).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Prototype Rath : dépôt Rath et déploiement rath-rath-client-8vrf.vercel.app.</w:t>
      </w:r>
    </w:p>
    <w:p>
      <w:pPr>
        <w:spacing w:after="120" w:line="276"/>
      </w:pPr>
      <w:r>
        <w:rPr>
          <w:i/>
          <w:iCs/>
          <w:color w:val="5C5B57"/>
          <w:sz w:val="17"/>
          <w:szCs w:val="17"/>
        </w:rPr>
        <w:t xml:space="preserve">Les captures des solutions concurrentes sont reproduites à des fins d’analyse comparative ; elles restent la propriété de leurs éditeurs. Les captures Grist, Rath et les maquettes ont été réalisées pour ce document le 19 octobre 2026.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567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D8C86"/>
        <w:sz w:val="16"/>
        <w:szCs w:val="16"/>
      </w:rPr>
      <w:t xml:space="preserve">Page </w:t>
    </w:r>
    <w:r>
      <w:rPr>
        <w:color w:val="8D8C8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D8C86"/>
        <w:sz w:val="16"/>
        <w:szCs w:val="16"/>
      </w:rPr>
      <w:t xml:space="preserve"> / </w:t>
    </w:r>
    <w:r>
      <w:rPr>
        <w:color w:val="8D8C8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D3CE" w:sz="4" w:space="4"/>
      </w:pBdr>
      <w:tabs>
        <w:tab w:val="right" w:pos="9638"/>
      </w:tabs>
    </w:pPr>
    <w:r>
      <w:rPr>
        <w:color w:val="8D8C86"/>
        <w:sz w:val="16"/>
        <w:szCs w:val="16"/>
      </w:rPr>
      <w:t xml:space="preserve">Widget « Tableau de bord » pour Grist — Cahier des charges</w:t>
    </w:r>
    <w:r>
      <w:rPr>
        <w:color w:val="8D8C86"/>
        <w:sz w:val="16"/>
        <w:szCs w:val="16"/>
      </w:rPr>
      <w:t xml:space="preserve">	v1.0 · 19 octobre 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  <w:rPr>
        <w:color w:val="16B378"/>
      </w:r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0E7A54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D1D1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6B378" w:sz="8" w:space="6"/>
      </w:pBdr>
      <w:spacing w:after="200" w:before="0"/>
      <w:outlineLvl w:val="0"/>
    </w:pPr>
    <w:rPr>
      <w:rFonts w:ascii="Arial" w:cs="Arial" w:eastAsia="Arial" w:hAnsi="Arial"/>
      <w:b/>
      <w:bCs/>
      <w:color w:val="1D1D1B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Arial" w:cs="Arial" w:eastAsia="Arial" w:hAnsi="Arial"/>
      <w:b/>
      <w:bCs/>
      <w:color w:val="0E7A5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Arial" w:cs="Arial" w:eastAsia="Arial" w:hAnsi="Arial"/>
      <w:b/>
      <w:bCs/>
      <w:color w:val="1D1D1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8f8820e8fbc946a37a950e021f16b19d47058c0c.jpg"/><Relationship Id="rId12" Type="http://schemas.openxmlformats.org/officeDocument/2006/relationships/image" Target="media/d117aa3aa32f178ffa8b5dc193602ff4db5c5228.jpg"/><Relationship Id="rId13" Type="http://schemas.openxmlformats.org/officeDocument/2006/relationships/image" Target="media/353235f17211868d8c0a29d418694df1c4158f81.jpg"/><Relationship Id="rId14" Type="http://schemas.openxmlformats.org/officeDocument/2006/relationships/image" Target="media/6a818915255e147a41eb42220a122f28f4ff211f.jpg"/><Relationship Id="rId15" Type="http://schemas.openxmlformats.org/officeDocument/2006/relationships/image" Target="media/c92aa434f259c1c469593ca3e6ebab0b7f4f3b5a.jpg"/><Relationship Id="rId16" Type="http://schemas.openxmlformats.org/officeDocument/2006/relationships/image" Target="media/8d4b9ecd257e3bddaab041539b3818c4e695ea8a.jpg"/><Relationship Id="rId17" Type="http://schemas.openxmlformats.org/officeDocument/2006/relationships/image" Target="media/da072c3a840f0abab7eff5ed0468b3b01c6c03ae.jpg"/><Relationship Id="rId18" Type="http://schemas.openxmlformats.org/officeDocument/2006/relationships/image" Target="media/607ff318cdb72a07e5e0ec6160525428c57bc4b9.jpg"/><Relationship Id="rId19" Type="http://schemas.openxmlformats.org/officeDocument/2006/relationships/image" Target="media/5a1c6e9e6018d1003bb21f90ef5a169a070e8692.jpg"/><Relationship Id="rId20" Type="http://schemas.openxmlformats.org/officeDocument/2006/relationships/image" Target="media/2f8004153454879da9e45733982eb181570e62b8.jpg"/><Relationship Id="rId21" Type="http://schemas.openxmlformats.org/officeDocument/2006/relationships/image" Target="media/9dbe926030d579acfcef872029ed632731b00be4.jpg"/><Relationship Id="rId22" Type="http://schemas.openxmlformats.org/officeDocument/2006/relationships/image" Target="media/b5fc9fe48c263ddc04a6a5e2dc2c875b37838dd8.jpg"/><Relationship Id="rId23" Type="http://schemas.openxmlformats.org/officeDocument/2006/relationships/image" Target="media/9974ea66cfa557f4b7cbea4fa79938bd78971e29.jpg"/><Relationship Id="rId24" Type="http://schemas.openxmlformats.org/officeDocument/2006/relationships/image" Target="media/6c0bb5a51d462b35f5dafce4e8ca34139c0cc5c6.jpg"/><Relationship Id="rId25" Type="http://schemas.openxmlformats.org/officeDocument/2006/relationships/image" Target="media/e2d9e43c5ea99f1ef488c67c3693f3b2ce2f1cc7.jpg"/><Relationship Id="rId26" Type="http://schemas.openxmlformats.org/officeDocument/2006/relationships/image" Target="media/6d9dfc081afee587d332f14fbc674ed740316c08.jpg"/><Relationship Id="rId27" Type="http://schemas.openxmlformats.org/officeDocument/2006/relationships/image" Target="media/9e6c080f2eafbee654a916cc94f41373022d8c0a.jpg"/><Relationship Id="rId28" Type="http://schemas.openxmlformats.org/officeDocument/2006/relationships/image" Target="media/bdae2b33da80b4fb0578bb517255742104ff209b.jpg"/><Relationship Id="rId29" Type="http://schemas.openxmlformats.org/officeDocument/2006/relationships/image" Target="media/c90fe99f2ae34e55d14a9572fa2b8987bfde49e3.jpg"/><Relationship Id="rId30" Type="http://schemas.openxmlformats.org/officeDocument/2006/relationships/image" Target="media/d85584f4110f344a54d9b32d5fc1c39f122dde0a.jp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— Widget Tableau de bord Grist (ECharts)</dc:title>
  <dc:creator>Cahier des charges</dc:creator>
  <dc:description>Benchmark, spécifications et design</dc:description>
  <cp:lastModifiedBy>Un-named</cp:lastModifiedBy>
  <cp:revision>1</cp:revision>
  <dcterms:created xsi:type="dcterms:W3CDTF">2026-10-19T14:06:13.905Z</dcterms:created>
  <dcterms:modified xsi:type="dcterms:W3CDTF">2026-10-19T14:06:13.905Z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