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MACKENZIE</w:t>
      </w:r>
    </w:p>
    <w:p>
      <w:pPr>
        <w:jc w:val="center"/>
      </w:pPr>
      <w:r>
        <w:rPr>
          <w:b/>
          <w:sz w:val="52"/>
        </w:rPr>
        <w:t>E-commerce Cart Recovery</w:t>
      </w:r>
    </w:p>
    <w:p>
      <w:pPr>
        <w:jc w:val="center"/>
      </w:pPr>
      <w:r>
        <w:rPr>
          <w:sz w:val="30"/>
        </w:rPr>
        <w:t>Documentação da Entrega Final - Hands-On Engenharia de Dados</w:t>
      </w:r>
    </w:p>
    <w:p>
      <w:pPr>
        <w:jc w:val="center"/>
      </w:pPr>
      <w:r>
        <w:rPr>
          <w:sz w:val="24"/>
        </w:rPr>
        <w:t>Plataforma de dados para análise de abandono de carrinho,</w:t>
        <w:br/>
        <w:t>propensão à conversão e recomendação de ações comerciais</w:t>
      </w:r>
    </w:p>
    <w:p>
      <w:pPr>
        <w:jc w:val="center"/>
      </w:pPr>
      <w:r>
        <w:rPr>
          <w:sz w:val="22"/>
        </w:rPr>
        <w:t>São Paulo</w:t>
        <w:br/>
        <w:t>Setembro de 2026</w:t>
      </w:r>
    </w:p>
    <w:p>
      <w:r>
        <w:br w:type="page"/>
      </w:r>
    </w:p>
    <w:p>
      <w:pPr>
        <w:pStyle w:val="Heading1"/>
      </w:pPr>
      <w:r>
        <w:t>1. Objetivo da entrega</w:t>
      </w:r>
    </w:p>
    <w:p>
      <w:r>
        <w:t>Esta entrega consolida a finalização do desenvolvimento do projeto E-commerce Cart Recovery. A solução foi construída para processar eventos de navegação de um e-commerce, identificar sessões com carrinho, analisar abandono e conversão, estimar a propensão à conversão, segmentar os clientes por comportamento e transformar os resultados analíticos em recomendações comerciais.</w:t>
      </w:r>
    </w:p>
    <w:p>
      <w:r>
        <w:t>A entrega contempla os cinco pontos solicitados: finalização do desenvolvimento, análise dos resultados, testes e validação funcional, modelagem preditiva/classificatória e dashboard de resultados. Como complemento, foi implementado um pipeline de CI/CD com GitHub Actions.</w:t>
      </w:r>
    </w:p>
    <w:p>
      <w:pPr>
        <w:pStyle w:val="Heading1"/>
      </w:pPr>
      <w:r>
        <w:t>2. Visão geral da solução</w:t>
      </w:r>
    </w:p>
    <w:p>
      <w:r>
        <w:t>O fluxo implementado segue uma arquitetura de dados em camadas. O dataset bruto é ingerido para o Amazon S3, processado com PySpark nas camadas Bronze, Silver e Gold e transformado em features por sessão. A camada analítica alimenta um modelo supervisionado de propensão, um modelo de segmentação K-Means e uma matriz de decisão. Os resultados são disponibilizados em um dashboard Streamlit.</w:t>
      </w:r>
    </w:p>
    <w:p>
      <w:pPr/>
      <w:r>
        <w:rPr>
          <w:b/>
        </w:rPr>
        <w:t xml:space="preserve">Fluxo resumido: </w:t>
      </w:r>
      <w:r>
        <w:t>Dataset -&gt; S3 Bronze -&gt; PySpark/Silver -&gt; PySpark/Gold -&gt; Random Forest + K-Means -&gt; Matriz de decisão -&gt; Streamlit.</w:t>
      </w:r>
    </w:p>
    <w:p>
      <w:pPr>
        <w:pStyle w:val="Heading1"/>
      </w:pPr>
      <w:r>
        <w:t>3. Finalização do desenvolvimento</w:t>
      </w:r>
    </w:p>
    <w:p>
      <w:r>
        <w:t>O pipeline foi executado sobre o dataset completo de novembro de 2019. O arquivo original possui aproximadamente 8,4 GB e cerca de 67,5 milhões de eventos dos tipos view, cart e purchase. Após tratamento na camada Silver, 67.401.460 eventos válidos permaneceram disponíveis para processamento.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Componente</w:t>
            </w:r>
          </w:p>
        </w:tc>
        <w:tc>
          <w:tcPr>
            <w:tcW w:type="dxa" w:w="3360"/>
            <w:vAlign w:val="center"/>
            <w:shd w:fill="D9EAF7"/>
          </w:tcPr>
          <w:p>
            <w:r/>
            <w:r>
              <w:rPr>
                <w:rFonts w:ascii="Aptos" w:hAnsi="Aptos"/>
                <w:b/>
                <w:sz w:val="19"/>
              </w:rPr>
              <w:t>Implementação</w:t>
            </w:r>
          </w:p>
        </w:tc>
        <w:tc>
          <w:tcPr>
            <w:tcW w:type="dxa" w:w="3360"/>
            <w:vAlign w:val="center"/>
            <w:shd w:fill="D9EAF7"/>
          </w:tcPr>
          <w:p>
            <w:r/>
            <w:r>
              <w:rPr>
                <w:rFonts w:ascii="Aptos" w:hAnsi="Aptos"/>
                <w:b/>
                <w:sz w:val="19"/>
              </w:rPr>
              <w:t>Situação</w:t>
            </w:r>
          </w:p>
        </w:tc>
      </w:tr>
      <w:tr>
        <w:tc>
          <w:tcPr>
            <w:tcW w:type="dxa" w:w="3360"/>
            <w:vAlign w:val="center"/>
          </w:tcPr>
          <w:p>
            <w:r/>
            <w:r>
              <w:rPr>
                <w:rFonts w:ascii="Aptos" w:hAnsi="Aptos"/>
                <w:b w:val="0"/>
                <w:sz w:val="19"/>
              </w:rPr>
              <w:t>Ingestão</w:t>
            </w:r>
          </w:p>
        </w:tc>
        <w:tc>
          <w:tcPr>
            <w:tcW w:type="dxa" w:w="3360"/>
            <w:vAlign w:val="center"/>
          </w:tcPr>
          <w:p>
            <w:r/>
            <w:r>
              <w:rPr>
                <w:rFonts w:ascii="Aptos" w:hAnsi="Aptos"/>
                <w:b w:val="0"/>
                <w:sz w:val="19"/>
              </w:rPr>
              <w:t>Python/boto3 para Amazon S3</w:t>
            </w:r>
          </w:p>
        </w:tc>
        <w:tc>
          <w:tcPr>
            <w:tcW w:type="dxa" w:w="3360"/>
            <w:vAlign w:val="center"/>
          </w:tcPr>
          <w:p>
            <w:r/>
            <w:r>
              <w:rPr>
                <w:rFonts w:ascii="Aptos" w:hAnsi="Aptos"/>
                <w:b w:val="0"/>
                <w:sz w:val="19"/>
              </w:rPr>
              <w:t>Concluído</w:t>
            </w:r>
          </w:p>
        </w:tc>
      </w:tr>
      <w:tr>
        <w:tc>
          <w:tcPr>
            <w:tcW w:type="dxa" w:w="3360"/>
            <w:vAlign w:val="center"/>
          </w:tcPr>
          <w:p>
            <w:r/>
            <w:r>
              <w:rPr>
                <w:rFonts w:ascii="Aptos" w:hAnsi="Aptos"/>
                <w:b w:val="0"/>
                <w:sz w:val="19"/>
              </w:rPr>
              <w:t>Data Lake</w:t>
            </w:r>
          </w:p>
        </w:tc>
        <w:tc>
          <w:tcPr>
            <w:tcW w:type="dxa" w:w="3360"/>
            <w:vAlign w:val="center"/>
          </w:tcPr>
          <w:p>
            <w:r/>
            <w:r>
              <w:rPr>
                <w:rFonts w:ascii="Aptos" w:hAnsi="Aptos"/>
                <w:b w:val="0"/>
                <w:sz w:val="19"/>
              </w:rPr>
              <w:t>Amazon S3 - Bronze, Silver e Gold</w:t>
            </w:r>
          </w:p>
        </w:tc>
        <w:tc>
          <w:tcPr>
            <w:tcW w:type="dxa" w:w="3360"/>
            <w:vAlign w:val="center"/>
          </w:tcPr>
          <w:p>
            <w:r/>
            <w:r>
              <w:rPr>
                <w:rFonts w:ascii="Aptos" w:hAnsi="Aptos"/>
                <w:b w:val="0"/>
                <w:sz w:val="19"/>
              </w:rPr>
              <w:t>Concluído</w:t>
            </w:r>
          </w:p>
        </w:tc>
      </w:tr>
      <w:tr>
        <w:tc>
          <w:tcPr>
            <w:tcW w:type="dxa" w:w="3360"/>
            <w:vAlign w:val="center"/>
          </w:tcPr>
          <w:p>
            <w:r/>
            <w:r>
              <w:rPr>
                <w:rFonts w:ascii="Aptos" w:hAnsi="Aptos"/>
                <w:b w:val="0"/>
                <w:sz w:val="19"/>
              </w:rPr>
              <w:t>Processamento</w:t>
            </w:r>
          </w:p>
        </w:tc>
        <w:tc>
          <w:tcPr>
            <w:tcW w:type="dxa" w:w="3360"/>
            <w:vAlign w:val="center"/>
          </w:tcPr>
          <w:p>
            <w:r/>
            <w:r>
              <w:rPr>
                <w:rFonts w:ascii="Aptos" w:hAnsi="Aptos"/>
                <w:b w:val="0"/>
                <w:sz w:val="19"/>
              </w:rPr>
              <w:t>Apache Spark / PySpark em Docker</w:t>
            </w:r>
          </w:p>
        </w:tc>
        <w:tc>
          <w:tcPr>
            <w:tcW w:type="dxa" w:w="3360"/>
            <w:vAlign w:val="center"/>
          </w:tcPr>
          <w:p>
            <w:r/>
            <w:r>
              <w:rPr>
                <w:rFonts w:ascii="Aptos" w:hAnsi="Aptos"/>
                <w:b w:val="0"/>
                <w:sz w:val="19"/>
              </w:rPr>
              <w:t>Concluído</w:t>
            </w:r>
          </w:p>
        </w:tc>
      </w:tr>
      <w:tr>
        <w:tc>
          <w:tcPr>
            <w:tcW w:type="dxa" w:w="3360"/>
            <w:vAlign w:val="center"/>
          </w:tcPr>
          <w:p>
            <w:r/>
            <w:r>
              <w:rPr>
                <w:rFonts w:ascii="Aptos" w:hAnsi="Aptos"/>
                <w:b w:val="0"/>
                <w:sz w:val="19"/>
              </w:rPr>
              <w:t>Features</w:t>
            </w:r>
          </w:p>
        </w:tc>
        <w:tc>
          <w:tcPr>
            <w:tcW w:type="dxa" w:w="3360"/>
            <w:vAlign w:val="center"/>
          </w:tcPr>
          <w:p>
            <w:r/>
            <w:r>
              <w:rPr>
                <w:rFonts w:ascii="Aptos" w:hAnsi="Aptos"/>
                <w:b w:val="0"/>
                <w:sz w:val="19"/>
              </w:rPr>
              <w:t>Features de sessão e comportamento pré-carrinho</w:t>
            </w:r>
          </w:p>
        </w:tc>
        <w:tc>
          <w:tcPr>
            <w:tcW w:type="dxa" w:w="3360"/>
            <w:vAlign w:val="center"/>
          </w:tcPr>
          <w:p>
            <w:r/>
            <w:r>
              <w:rPr>
                <w:rFonts w:ascii="Aptos" w:hAnsi="Aptos"/>
                <w:b w:val="0"/>
                <w:sz w:val="19"/>
              </w:rPr>
              <w:t>Concluído</w:t>
            </w:r>
          </w:p>
        </w:tc>
      </w:tr>
      <w:tr>
        <w:tc>
          <w:tcPr>
            <w:tcW w:type="dxa" w:w="3360"/>
            <w:vAlign w:val="center"/>
          </w:tcPr>
          <w:p>
            <w:r/>
            <w:r>
              <w:rPr>
                <w:rFonts w:ascii="Aptos" w:hAnsi="Aptos"/>
                <w:b w:val="0"/>
                <w:sz w:val="19"/>
              </w:rPr>
              <w:t>Modelo preditivo</w:t>
            </w:r>
          </w:p>
        </w:tc>
        <w:tc>
          <w:tcPr>
            <w:tcW w:type="dxa" w:w="3360"/>
            <w:vAlign w:val="center"/>
          </w:tcPr>
          <w:p>
            <w:r/>
            <w:r>
              <w:rPr>
                <w:rFonts w:ascii="Aptos" w:hAnsi="Aptos"/>
                <w:b w:val="0"/>
                <w:sz w:val="19"/>
              </w:rPr>
              <w:t>Random Forest - propensão à conversão</w:t>
            </w:r>
          </w:p>
        </w:tc>
        <w:tc>
          <w:tcPr>
            <w:tcW w:type="dxa" w:w="3360"/>
            <w:vAlign w:val="center"/>
          </w:tcPr>
          <w:p>
            <w:r/>
            <w:r>
              <w:rPr>
                <w:rFonts w:ascii="Aptos" w:hAnsi="Aptos"/>
                <w:b w:val="0"/>
                <w:sz w:val="19"/>
              </w:rPr>
              <w:t>Concluído</w:t>
            </w:r>
          </w:p>
        </w:tc>
      </w:tr>
      <w:tr>
        <w:tc>
          <w:tcPr>
            <w:tcW w:type="dxa" w:w="3360"/>
            <w:vAlign w:val="center"/>
          </w:tcPr>
          <w:p>
            <w:r/>
            <w:r>
              <w:rPr>
                <w:rFonts w:ascii="Aptos" w:hAnsi="Aptos"/>
                <w:b w:val="0"/>
                <w:sz w:val="19"/>
              </w:rPr>
              <w:t>Segmentação</w:t>
            </w:r>
          </w:p>
        </w:tc>
        <w:tc>
          <w:tcPr>
            <w:tcW w:type="dxa" w:w="3360"/>
            <w:vAlign w:val="center"/>
          </w:tcPr>
          <w:p>
            <w:r/>
            <w:r>
              <w:rPr>
                <w:rFonts w:ascii="Aptos" w:hAnsi="Aptos"/>
                <w:b w:val="0"/>
                <w:sz w:val="19"/>
              </w:rPr>
              <w:t>K-Means - 3 perfis comportamentais</w:t>
            </w:r>
          </w:p>
        </w:tc>
        <w:tc>
          <w:tcPr>
            <w:tcW w:type="dxa" w:w="3360"/>
            <w:vAlign w:val="center"/>
          </w:tcPr>
          <w:p>
            <w:r/>
            <w:r>
              <w:rPr>
                <w:rFonts w:ascii="Aptos" w:hAnsi="Aptos"/>
                <w:b w:val="0"/>
                <w:sz w:val="19"/>
              </w:rPr>
              <w:t>Concluído</w:t>
            </w:r>
          </w:p>
        </w:tc>
      </w:tr>
      <w:tr>
        <w:tc>
          <w:tcPr>
            <w:tcW w:type="dxa" w:w="3360"/>
            <w:vAlign w:val="center"/>
          </w:tcPr>
          <w:p>
            <w:r/>
            <w:r>
              <w:rPr>
                <w:rFonts w:ascii="Aptos" w:hAnsi="Aptos"/>
                <w:b w:val="0"/>
                <w:sz w:val="19"/>
              </w:rPr>
              <w:t>Regra de negócio</w:t>
            </w:r>
          </w:p>
        </w:tc>
        <w:tc>
          <w:tcPr>
            <w:tcW w:type="dxa" w:w="3360"/>
            <w:vAlign w:val="center"/>
          </w:tcPr>
          <w:p>
            <w:r/>
            <w:r>
              <w:rPr>
                <w:rFonts w:ascii="Aptos" w:hAnsi="Aptos"/>
                <w:b w:val="0"/>
                <w:sz w:val="19"/>
              </w:rPr>
              <w:t>Matriz perfil x score x ação</w:t>
            </w:r>
          </w:p>
        </w:tc>
        <w:tc>
          <w:tcPr>
            <w:tcW w:type="dxa" w:w="3360"/>
            <w:vAlign w:val="center"/>
          </w:tcPr>
          <w:p>
            <w:r/>
            <w:r>
              <w:rPr>
                <w:rFonts w:ascii="Aptos" w:hAnsi="Aptos"/>
                <w:b w:val="0"/>
                <w:sz w:val="19"/>
              </w:rPr>
              <w:t>Concluído</w:t>
            </w:r>
          </w:p>
        </w:tc>
      </w:tr>
      <w:tr>
        <w:tc>
          <w:tcPr>
            <w:tcW w:type="dxa" w:w="3360"/>
            <w:vAlign w:val="center"/>
          </w:tcPr>
          <w:p>
            <w:r/>
            <w:r>
              <w:rPr>
                <w:rFonts w:ascii="Aptos" w:hAnsi="Aptos"/>
                <w:b w:val="0"/>
                <w:sz w:val="19"/>
              </w:rPr>
              <w:t>Dashboard</w:t>
            </w:r>
          </w:p>
        </w:tc>
        <w:tc>
          <w:tcPr>
            <w:tcW w:type="dxa" w:w="3360"/>
            <w:vAlign w:val="center"/>
          </w:tcPr>
          <w:p>
            <w:r/>
            <w:r>
              <w:rPr>
                <w:rFonts w:ascii="Aptos" w:hAnsi="Aptos"/>
                <w:b w:val="0"/>
                <w:sz w:val="19"/>
              </w:rPr>
              <w:t>Streamlit</w:t>
            </w:r>
          </w:p>
        </w:tc>
        <w:tc>
          <w:tcPr>
            <w:tcW w:type="dxa" w:w="3360"/>
            <w:vAlign w:val="center"/>
          </w:tcPr>
          <w:p>
            <w:r/>
            <w:r>
              <w:rPr>
                <w:rFonts w:ascii="Aptos" w:hAnsi="Aptos"/>
                <w:b w:val="0"/>
                <w:sz w:val="19"/>
              </w:rPr>
              <w:t>Concluído</w:t>
            </w:r>
          </w:p>
        </w:tc>
      </w:tr>
      <w:tr>
        <w:tc>
          <w:tcPr>
            <w:tcW w:type="dxa" w:w="3360"/>
            <w:vAlign w:val="center"/>
          </w:tcPr>
          <w:p>
            <w:r/>
            <w:r>
              <w:rPr>
                <w:rFonts w:ascii="Aptos" w:hAnsi="Aptos"/>
                <w:b w:val="0"/>
                <w:sz w:val="19"/>
              </w:rPr>
              <w:t>Testes</w:t>
            </w:r>
          </w:p>
        </w:tc>
        <w:tc>
          <w:tcPr>
            <w:tcW w:type="dxa" w:w="3360"/>
            <w:vAlign w:val="center"/>
          </w:tcPr>
          <w:p>
            <w:r/>
            <w:r>
              <w:rPr>
                <w:rFonts w:ascii="Aptos" w:hAnsi="Aptos"/>
                <w:b w:val="0"/>
                <w:sz w:val="19"/>
              </w:rPr>
              <w:t>pytest</w:t>
            </w:r>
          </w:p>
        </w:tc>
        <w:tc>
          <w:tcPr>
            <w:tcW w:type="dxa" w:w="3360"/>
            <w:vAlign w:val="center"/>
          </w:tcPr>
          <w:p>
            <w:r/>
            <w:r>
              <w:rPr>
                <w:rFonts w:ascii="Aptos" w:hAnsi="Aptos"/>
                <w:b w:val="0"/>
                <w:sz w:val="19"/>
              </w:rPr>
              <w:t>Concluído</w:t>
            </w:r>
          </w:p>
        </w:tc>
      </w:tr>
      <w:tr>
        <w:tc>
          <w:tcPr>
            <w:tcW w:type="dxa" w:w="3360"/>
            <w:vAlign w:val="center"/>
          </w:tcPr>
          <w:p>
            <w:r/>
            <w:r>
              <w:rPr>
                <w:rFonts w:ascii="Aptos" w:hAnsi="Aptos"/>
                <w:b w:val="0"/>
                <w:sz w:val="19"/>
              </w:rPr>
              <w:t>CI/CD</w:t>
            </w:r>
          </w:p>
        </w:tc>
        <w:tc>
          <w:tcPr>
            <w:tcW w:type="dxa" w:w="3360"/>
            <w:vAlign w:val="center"/>
          </w:tcPr>
          <w:p>
            <w:r/>
            <w:r>
              <w:rPr>
                <w:rFonts w:ascii="Aptos" w:hAnsi="Aptos"/>
                <w:b w:val="0"/>
                <w:sz w:val="19"/>
              </w:rPr>
              <w:t>GitHub Actions</w:t>
            </w:r>
          </w:p>
        </w:tc>
        <w:tc>
          <w:tcPr>
            <w:tcW w:type="dxa" w:w="3360"/>
            <w:vAlign w:val="center"/>
          </w:tcPr>
          <w:p>
            <w:r/>
            <w:r>
              <w:rPr>
                <w:rFonts w:ascii="Aptos" w:hAnsi="Aptos"/>
                <w:b w:val="0"/>
                <w:sz w:val="19"/>
              </w:rPr>
              <w:t>Concluído</w:t>
            </w:r>
          </w:p>
        </w:tc>
      </w:tr>
    </w:tbl>
    <w:p/>
    <w:p>
      <w:pPr>
        <w:pStyle w:val="Heading1"/>
      </w:pPr>
      <w:r>
        <w:t>4. Camada Gold e preparação para Machine Learning</w:t>
      </w:r>
    </w:p>
    <w:p>
      <w:r>
        <w:t>A camada Gold foi estruturada para representar as sessões de carrinho e produzir as variáveis necessárias para modelagem. Para reduzir data leakage, as features comportamentais utilizadas na previsão são construídas com informações disponíveis até o primeiro evento de carrinho, enquanto a compra posterior é utilizada apenas como resultado observado.</w:t>
      </w:r>
    </w:p>
    <w:p>
      <w:r>
        <w:t>Entre as principais features utilizadas estão:</w:t>
      </w:r>
    </w:p>
    <w:p>
      <w:pPr>
        <w:pStyle w:val="ListBullet"/>
      </w:pPr>
      <w:r>
        <w:t>quantidade de visualizações antes do primeiro carrinho;</w:t>
      </w:r>
    </w:p>
    <w:p>
      <w:pPr>
        <w:pStyle w:val="ListBullet"/>
      </w:pPr>
      <w:r>
        <w:t>quantidade de produtos, categorias e marcas visualizadas;</w:t>
      </w:r>
    </w:p>
    <w:p>
      <w:pPr>
        <w:pStyle w:val="ListBullet"/>
      </w:pPr>
      <w:r>
        <w:t>preço médio e amplitude de preços visualizados;</w:t>
      </w:r>
    </w:p>
    <w:p>
      <w:pPr>
        <w:pStyle w:val="ListBullet"/>
      </w:pPr>
      <w:r>
        <w:t>valor e quantidade de itens no primeiro carrinho;</w:t>
      </w:r>
    </w:p>
    <w:p>
      <w:pPr>
        <w:pStyle w:val="ListBullet"/>
      </w:pPr>
      <w:r>
        <w:t>tempo até o primeiro carrinho;</w:t>
      </w:r>
    </w:p>
    <w:p>
      <w:pPr>
        <w:pStyle w:val="ListBullet"/>
      </w:pPr>
      <w:r>
        <w:t>relação entre visualizações e itens adicionados;</w:t>
      </w:r>
    </w:p>
    <w:p>
      <w:pPr>
        <w:pStyle w:val="ListBullet"/>
      </w:pPr>
      <w:r>
        <w:t>horário do carrinho e indicador de período noturno.</w:t>
      </w:r>
    </w:p>
    <w:p>
      <w:pPr>
        <w:pStyle w:val="Heading1"/>
      </w:pPr>
      <w:r>
        <w:t>5. Definição de abandono e conversão</w:t>
      </w:r>
    </w:p>
    <w:p>
      <w:r>
        <w:t>Para a análise, uma sessão com evento de carrinho é considerada convertida quando existe compra posterior associada à sessão. Para o modelo de propensão foi utilizado o target converted, em que 1 representa conversão e 0 representa não conversão. Essa definição é a leitura inversa do indicador is_abandoned.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Indicador</w:t>
            </w:r>
          </w:p>
        </w:tc>
        <w:tc>
          <w:tcPr>
            <w:tcW w:type="dxa" w:w="5040"/>
            <w:vAlign w:val="center"/>
            <w:shd w:fill="D9EAF7"/>
          </w:tcPr>
          <w:p>
            <w:r/>
            <w:r>
              <w:rPr>
                <w:rFonts w:ascii="Aptos" w:hAnsi="Aptos"/>
                <w:b/>
                <w:sz w:val="19"/>
              </w:rPr>
              <w:t>Interpretação</w:t>
            </w:r>
          </w:p>
        </w:tc>
      </w:tr>
      <w:tr>
        <w:tc>
          <w:tcPr>
            <w:tcW w:type="dxa" w:w="5040"/>
            <w:vAlign w:val="center"/>
          </w:tcPr>
          <w:p>
            <w:r/>
            <w:r>
              <w:rPr>
                <w:rFonts w:ascii="Aptos" w:hAnsi="Aptos"/>
                <w:b w:val="0"/>
                <w:sz w:val="19"/>
              </w:rPr>
              <w:t>converted = 1</w:t>
            </w:r>
          </w:p>
        </w:tc>
        <w:tc>
          <w:tcPr>
            <w:tcW w:type="dxa" w:w="5040"/>
            <w:vAlign w:val="center"/>
          </w:tcPr>
          <w:p>
            <w:r/>
            <w:r>
              <w:rPr>
                <w:rFonts w:ascii="Aptos" w:hAnsi="Aptos"/>
                <w:b w:val="0"/>
                <w:sz w:val="19"/>
              </w:rPr>
              <w:t>Sessão com carrinho que terminou em compra</w:t>
            </w:r>
          </w:p>
        </w:tc>
      </w:tr>
      <w:tr>
        <w:tc>
          <w:tcPr>
            <w:tcW w:type="dxa" w:w="5040"/>
            <w:vAlign w:val="center"/>
          </w:tcPr>
          <w:p>
            <w:r/>
            <w:r>
              <w:rPr>
                <w:rFonts w:ascii="Aptos" w:hAnsi="Aptos"/>
                <w:b w:val="0"/>
                <w:sz w:val="19"/>
              </w:rPr>
              <w:t>converted = 0</w:t>
            </w:r>
          </w:p>
        </w:tc>
        <w:tc>
          <w:tcPr>
            <w:tcW w:type="dxa" w:w="5040"/>
            <w:vAlign w:val="center"/>
          </w:tcPr>
          <w:p>
            <w:r/>
            <w:r>
              <w:rPr>
                <w:rFonts w:ascii="Aptos" w:hAnsi="Aptos"/>
                <w:b w:val="0"/>
                <w:sz w:val="19"/>
              </w:rPr>
              <w:t>Sessão com carrinho sem compra observada</w:t>
            </w:r>
          </w:p>
        </w:tc>
      </w:tr>
      <w:tr>
        <w:tc>
          <w:tcPr>
            <w:tcW w:type="dxa" w:w="5040"/>
            <w:vAlign w:val="center"/>
          </w:tcPr>
          <w:p>
            <w:r/>
            <w:r>
              <w:rPr>
                <w:rFonts w:ascii="Aptos" w:hAnsi="Aptos"/>
                <w:b w:val="0"/>
                <w:sz w:val="19"/>
              </w:rPr>
              <w:t>is_abandoned = 1</w:t>
            </w:r>
          </w:p>
        </w:tc>
        <w:tc>
          <w:tcPr>
            <w:tcW w:type="dxa" w:w="5040"/>
            <w:vAlign w:val="center"/>
          </w:tcPr>
          <w:p>
            <w:r/>
            <w:r>
              <w:rPr>
                <w:rFonts w:ascii="Aptos" w:hAnsi="Aptos"/>
                <w:b w:val="0"/>
                <w:sz w:val="19"/>
              </w:rPr>
              <w:t>Carrinho abandonado</w:t>
            </w:r>
          </w:p>
        </w:tc>
      </w:tr>
      <w:tr>
        <w:tc>
          <w:tcPr>
            <w:tcW w:type="dxa" w:w="5040"/>
            <w:vAlign w:val="center"/>
          </w:tcPr>
          <w:p>
            <w:r/>
            <w:r>
              <w:rPr>
                <w:rFonts w:ascii="Aptos" w:hAnsi="Aptos"/>
                <w:b w:val="0"/>
                <w:sz w:val="19"/>
              </w:rPr>
              <w:t>is_abandoned = 0</w:t>
            </w:r>
          </w:p>
        </w:tc>
        <w:tc>
          <w:tcPr>
            <w:tcW w:type="dxa" w:w="5040"/>
            <w:vAlign w:val="center"/>
          </w:tcPr>
          <w:p>
            <w:r/>
            <w:r>
              <w:rPr>
                <w:rFonts w:ascii="Aptos" w:hAnsi="Aptos"/>
                <w:b w:val="0"/>
                <w:sz w:val="19"/>
              </w:rPr>
              <w:t>Carrinho convertido</w:t>
            </w:r>
          </w:p>
        </w:tc>
      </w:tr>
    </w:tbl>
    <w:p/>
    <w:p>
      <w:pPr>
        <w:pStyle w:val="Heading1"/>
      </w:pPr>
      <w:r>
        <w:t>6. Análise dos resultados</w:t>
      </w:r>
    </w:p>
    <w:p>
      <w:r>
        <w:t>O processamento identificou 1.743.354 sessões com carrinho. Dessas, 1.094.983 foram classificadas como abandonadas e 648.361 como convertidas.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Métrica</w:t>
            </w:r>
          </w:p>
        </w:tc>
        <w:tc>
          <w:tcPr>
            <w:tcW w:type="dxa" w:w="5040"/>
            <w:vAlign w:val="center"/>
            <w:shd w:fill="D9EAF7"/>
          </w:tcPr>
          <w:p>
            <w:r/>
            <w:r>
              <w:rPr>
                <w:rFonts w:ascii="Aptos" w:hAnsi="Aptos"/>
                <w:b/>
                <w:sz w:val="19"/>
              </w:rPr>
              <w:t>Resultado</w:t>
            </w:r>
          </w:p>
        </w:tc>
      </w:tr>
      <w:tr>
        <w:tc>
          <w:tcPr>
            <w:tcW w:type="dxa" w:w="5040"/>
            <w:vAlign w:val="center"/>
          </w:tcPr>
          <w:p>
            <w:r/>
            <w:r>
              <w:rPr>
                <w:rFonts w:ascii="Aptos" w:hAnsi="Aptos"/>
                <w:b w:val="0"/>
                <w:sz w:val="19"/>
              </w:rPr>
              <w:t>Eventos processados na Silver</w:t>
            </w:r>
          </w:p>
        </w:tc>
        <w:tc>
          <w:tcPr>
            <w:tcW w:type="dxa" w:w="5040"/>
            <w:vAlign w:val="center"/>
          </w:tcPr>
          <w:p>
            <w:r/>
            <w:r>
              <w:rPr>
                <w:rFonts w:ascii="Aptos" w:hAnsi="Aptos"/>
                <w:b w:val="0"/>
                <w:sz w:val="19"/>
              </w:rPr>
              <w:t>67.401.460</w:t>
            </w:r>
          </w:p>
        </w:tc>
      </w:tr>
      <w:tr>
        <w:tc>
          <w:tcPr>
            <w:tcW w:type="dxa" w:w="5040"/>
            <w:vAlign w:val="center"/>
          </w:tcPr>
          <w:p>
            <w:r/>
            <w:r>
              <w:rPr>
                <w:rFonts w:ascii="Aptos" w:hAnsi="Aptos"/>
                <w:b w:val="0"/>
                <w:sz w:val="19"/>
              </w:rPr>
              <w:t>Sessões com carrinho</w:t>
            </w:r>
          </w:p>
        </w:tc>
        <w:tc>
          <w:tcPr>
            <w:tcW w:type="dxa" w:w="5040"/>
            <w:vAlign w:val="center"/>
          </w:tcPr>
          <w:p>
            <w:r/>
            <w:r>
              <w:rPr>
                <w:rFonts w:ascii="Aptos" w:hAnsi="Aptos"/>
                <w:b w:val="0"/>
                <w:sz w:val="19"/>
              </w:rPr>
              <w:t>1.743.354</w:t>
            </w:r>
          </w:p>
        </w:tc>
      </w:tr>
      <w:tr>
        <w:tc>
          <w:tcPr>
            <w:tcW w:type="dxa" w:w="5040"/>
            <w:vAlign w:val="center"/>
          </w:tcPr>
          <w:p>
            <w:r/>
            <w:r>
              <w:rPr>
                <w:rFonts w:ascii="Aptos" w:hAnsi="Aptos"/>
                <w:b w:val="0"/>
                <w:sz w:val="19"/>
              </w:rPr>
              <w:t>Carrinhos abandonados</w:t>
            </w:r>
          </w:p>
        </w:tc>
        <w:tc>
          <w:tcPr>
            <w:tcW w:type="dxa" w:w="5040"/>
            <w:vAlign w:val="center"/>
          </w:tcPr>
          <w:p>
            <w:r/>
            <w:r>
              <w:rPr>
                <w:rFonts w:ascii="Aptos" w:hAnsi="Aptos"/>
                <w:b w:val="0"/>
                <w:sz w:val="19"/>
              </w:rPr>
              <w:t>1.094.983</w:t>
            </w:r>
          </w:p>
        </w:tc>
      </w:tr>
      <w:tr>
        <w:tc>
          <w:tcPr>
            <w:tcW w:type="dxa" w:w="5040"/>
            <w:vAlign w:val="center"/>
          </w:tcPr>
          <w:p>
            <w:r/>
            <w:r>
              <w:rPr>
                <w:rFonts w:ascii="Aptos" w:hAnsi="Aptos"/>
                <w:b w:val="0"/>
                <w:sz w:val="19"/>
              </w:rPr>
              <w:t>Sessões convertidas</w:t>
            </w:r>
          </w:p>
        </w:tc>
        <w:tc>
          <w:tcPr>
            <w:tcW w:type="dxa" w:w="5040"/>
            <w:vAlign w:val="center"/>
          </w:tcPr>
          <w:p>
            <w:r/>
            <w:r>
              <w:rPr>
                <w:rFonts w:ascii="Aptos" w:hAnsi="Aptos"/>
                <w:b w:val="0"/>
                <w:sz w:val="19"/>
              </w:rPr>
              <w:t>648.361</w:t>
            </w:r>
          </w:p>
        </w:tc>
      </w:tr>
      <w:tr>
        <w:tc>
          <w:tcPr>
            <w:tcW w:type="dxa" w:w="5040"/>
            <w:vAlign w:val="center"/>
          </w:tcPr>
          <w:p>
            <w:r/>
            <w:r>
              <w:rPr>
                <w:rFonts w:ascii="Aptos" w:hAnsi="Aptos"/>
                <w:b w:val="0"/>
                <w:sz w:val="19"/>
              </w:rPr>
              <w:t>Taxa de abandono</w:t>
            </w:r>
          </w:p>
        </w:tc>
        <w:tc>
          <w:tcPr>
            <w:tcW w:type="dxa" w:w="5040"/>
            <w:vAlign w:val="center"/>
          </w:tcPr>
          <w:p>
            <w:r/>
            <w:r>
              <w:rPr>
                <w:rFonts w:ascii="Aptos" w:hAnsi="Aptos"/>
                <w:b w:val="0"/>
                <w:sz w:val="19"/>
              </w:rPr>
              <w:t>62,81%</w:t>
            </w:r>
          </w:p>
        </w:tc>
      </w:tr>
      <w:tr>
        <w:tc>
          <w:tcPr>
            <w:tcW w:type="dxa" w:w="5040"/>
            <w:vAlign w:val="center"/>
          </w:tcPr>
          <w:p>
            <w:r/>
            <w:r>
              <w:rPr>
                <w:rFonts w:ascii="Aptos" w:hAnsi="Aptos"/>
                <w:b w:val="0"/>
                <w:sz w:val="19"/>
              </w:rPr>
              <w:t>Taxa de conversão</w:t>
            </w:r>
          </w:p>
        </w:tc>
        <w:tc>
          <w:tcPr>
            <w:tcW w:type="dxa" w:w="5040"/>
            <w:vAlign w:val="center"/>
          </w:tcPr>
          <w:p>
            <w:r/>
            <w:r>
              <w:rPr>
                <w:rFonts w:ascii="Aptos" w:hAnsi="Aptos"/>
                <w:b w:val="0"/>
                <w:sz w:val="19"/>
              </w:rPr>
              <w:t>37,19%</w:t>
            </w:r>
          </w:p>
        </w:tc>
      </w:tr>
    </w:tbl>
    <w:p/>
    <w:p>
      <w:pPr>
        <w:pStyle w:val="Heading1"/>
      </w:pPr>
      <w:r>
        <w:t>7. Modelagem preditiva/classificatória</w:t>
      </w:r>
    </w:p>
    <w:p>
      <w:r>
        <w:t>Foi desenvolvido um modelo supervisionado Random Forest para estimar a probabilidade de uma sessão apresentar comportamento semelhante ao das sessões que historicamente converteram. O resultado é um score entre 0 e 1, interpretado como propensão à conversão.</w:t>
      </w:r>
    </w:p>
    <w:p>
      <w:r>
        <w:t>No protótipo, o score foi dividido em três faixas comerciais: até 25% (baixa propensão), acima de 25% até 75% (propensão moderada) e acima de 75% (alta propensão). Esses limites são regras iniciais do MVP e podem ser recalibrados posteriormente.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Métrica do modelo</w:t>
            </w:r>
          </w:p>
        </w:tc>
        <w:tc>
          <w:tcPr>
            <w:tcW w:type="dxa" w:w="5040"/>
            <w:vAlign w:val="center"/>
            <w:shd w:fill="D9EAF7"/>
          </w:tcPr>
          <w:p>
            <w:r/>
            <w:r>
              <w:rPr>
                <w:rFonts w:ascii="Aptos" w:hAnsi="Aptos"/>
                <w:b/>
                <w:sz w:val="19"/>
              </w:rPr>
              <w:t>Resultado</w:t>
            </w:r>
          </w:p>
        </w:tc>
      </w:tr>
      <w:tr>
        <w:tc>
          <w:tcPr>
            <w:tcW w:type="dxa" w:w="5040"/>
            <w:vAlign w:val="center"/>
          </w:tcPr>
          <w:p>
            <w:r/>
            <w:r>
              <w:rPr>
                <w:rFonts w:ascii="Aptos" w:hAnsi="Aptos"/>
                <w:b w:val="0"/>
                <w:sz w:val="19"/>
              </w:rPr>
              <w:t>Accuracy</w:t>
            </w:r>
          </w:p>
        </w:tc>
        <w:tc>
          <w:tcPr>
            <w:tcW w:type="dxa" w:w="5040"/>
            <w:vAlign w:val="center"/>
          </w:tcPr>
          <w:p>
            <w:r/>
            <w:r>
              <w:rPr>
                <w:rFonts w:ascii="Aptos" w:hAnsi="Aptos"/>
                <w:b w:val="0"/>
                <w:sz w:val="19"/>
              </w:rPr>
              <w:t>58,09%</w:t>
            </w:r>
          </w:p>
        </w:tc>
      </w:tr>
      <w:tr>
        <w:tc>
          <w:tcPr>
            <w:tcW w:type="dxa" w:w="5040"/>
            <w:vAlign w:val="center"/>
          </w:tcPr>
          <w:p>
            <w:r/>
            <w:r>
              <w:rPr>
                <w:rFonts w:ascii="Aptos" w:hAnsi="Aptos"/>
                <w:b w:val="0"/>
                <w:sz w:val="19"/>
              </w:rPr>
              <w:t>Precision</w:t>
            </w:r>
          </w:p>
        </w:tc>
        <w:tc>
          <w:tcPr>
            <w:tcW w:type="dxa" w:w="5040"/>
            <w:vAlign w:val="center"/>
          </w:tcPr>
          <w:p>
            <w:r/>
            <w:r>
              <w:rPr>
                <w:rFonts w:ascii="Aptos" w:hAnsi="Aptos"/>
                <w:b w:val="0"/>
                <w:sz w:val="19"/>
              </w:rPr>
              <w:t>45,38%</w:t>
            </w:r>
          </w:p>
        </w:tc>
      </w:tr>
      <w:tr>
        <w:tc>
          <w:tcPr>
            <w:tcW w:type="dxa" w:w="5040"/>
            <w:vAlign w:val="center"/>
          </w:tcPr>
          <w:p>
            <w:r/>
            <w:r>
              <w:rPr>
                <w:rFonts w:ascii="Aptos" w:hAnsi="Aptos"/>
                <w:b w:val="0"/>
                <w:sz w:val="19"/>
              </w:rPr>
              <w:t>Recall</w:t>
            </w:r>
          </w:p>
        </w:tc>
        <w:tc>
          <w:tcPr>
            <w:tcW w:type="dxa" w:w="5040"/>
            <w:vAlign w:val="center"/>
          </w:tcPr>
          <w:p>
            <w:r/>
            <w:r>
              <w:rPr>
                <w:rFonts w:ascii="Aptos" w:hAnsi="Aptos"/>
                <w:b w:val="0"/>
                <w:sz w:val="19"/>
              </w:rPr>
              <w:t>59,43%</w:t>
            </w:r>
          </w:p>
        </w:tc>
      </w:tr>
      <w:tr>
        <w:tc>
          <w:tcPr>
            <w:tcW w:type="dxa" w:w="5040"/>
            <w:vAlign w:val="center"/>
          </w:tcPr>
          <w:p>
            <w:r/>
            <w:r>
              <w:rPr>
                <w:rFonts w:ascii="Aptos" w:hAnsi="Aptos"/>
                <w:b w:val="0"/>
                <w:sz w:val="19"/>
              </w:rPr>
              <w:t>F1 Score</w:t>
            </w:r>
          </w:p>
        </w:tc>
        <w:tc>
          <w:tcPr>
            <w:tcW w:type="dxa" w:w="5040"/>
            <w:vAlign w:val="center"/>
          </w:tcPr>
          <w:p>
            <w:r/>
            <w:r>
              <w:rPr>
                <w:rFonts w:ascii="Aptos" w:hAnsi="Aptos"/>
                <w:b w:val="0"/>
                <w:sz w:val="19"/>
              </w:rPr>
              <w:t>51,46%</w:t>
            </w:r>
          </w:p>
        </w:tc>
      </w:tr>
      <w:tr>
        <w:tc>
          <w:tcPr>
            <w:tcW w:type="dxa" w:w="5040"/>
            <w:vAlign w:val="center"/>
          </w:tcPr>
          <w:p>
            <w:r/>
            <w:r>
              <w:rPr>
                <w:rFonts w:ascii="Aptos" w:hAnsi="Aptos"/>
                <w:b w:val="0"/>
                <w:sz w:val="19"/>
              </w:rPr>
              <w:t>ROC-AUC</w:t>
            </w:r>
          </w:p>
        </w:tc>
        <w:tc>
          <w:tcPr>
            <w:tcW w:type="dxa" w:w="5040"/>
            <w:vAlign w:val="center"/>
          </w:tcPr>
          <w:p>
            <w:r/>
            <w:r>
              <w:rPr>
                <w:rFonts w:ascii="Aptos" w:hAnsi="Aptos"/>
                <w:b w:val="0"/>
                <w:sz w:val="19"/>
              </w:rPr>
              <w:t>0,632</w:t>
            </w:r>
          </w:p>
        </w:tc>
      </w:tr>
    </w:tbl>
    <w:p/>
    <w:p>
      <w:r>
        <w:t>O ROC-AUC de 0,632 indica capacidade discriminativa moderada. Portanto, o modelo deve ser interpretado como um MVP funcional para demonstração da arquitetura e do processo analítico, e não como um modelo pronto para produção. A evolução pode incluir novas features, tuning, calibração de probabilidades e comparação com outros algoritmos.</w:t>
      </w:r>
    </w:p>
    <w:p>
      <w:pPr>
        <w:pStyle w:val="Heading1"/>
      </w:pPr>
      <w:r>
        <w:t>8. Segmentação comportamental</w:t>
      </w:r>
    </w:p>
    <w:p>
      <w:r>
        <w:t>Foi aplicado K-Means para separar as sessões em três grupos com base em características de navegação e carrinho. O target de conversão não foi utilizado para formar os clusters; ele foi analisado posteriormente para interpretar os grupos.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9"/>
              </w:rPr>
              <w:t>Perfil</w:t>
            </w:r>
          </w:p>
        </w:tc>
        <w:tc>
          <w:tcPr>
            <w:tcW w:type="dxa" w:w="2520"/>
            <w:vAlign w:val="center"/>
            <w:shd w:fill="D9EAF7"/>
          </w:tcPr>
          <w:p>
            <w:r/>
            <w:r>
              <w:rPr>
                <w:rFonts w:ascii="Aptos" w:hAnsi="Aptos"/>
                <w:b/>
                <w:sz w:val="19"/>
              </w:rPr>
              <w:t>Sessões</w:t>
            </w:r>
          </w:p>
        </w:tc>
        <w:tc>
          <w:tcPr>
            <w:tcW w:type="dxa" w:w="2520"/>
            <w:vAlign w:val="center"/>
            <w:shd w:fill="D9EAF7"/>
          </w:tcPr>
          <w:p>
            <w:r/>
            <w:r>
              <w:rPr>
                <w:rFonts w:ascii="Aptos" w:hAnsi="Aptos"/>
                <w:b/>
                <w:sz w:val="19"/>
              </w:rPr>
              <w:t>Conversão</w:t>
            </w:r>
          </w:p>
        </w:tc>
        <w:tc>
          <w:tcPr>
            <w:tcW w:type="dxa" w:w="2520"/>
            <w:vAlign w:val="center"/>
            <w:shd w:fill="D9EAF7"/>
          </w:tcPr>
          <w:p>
            <w:r/>
            <w:r>
              <w:rPr>
                <w:rFonts w:ascii="Aptos" w:hAnsi="Aptos"/>
                <w:b/>
                <w:sz w:val="19"/>
              </w:rPr>
              <w:t>Abandono</w:t>
            </w:r>
          </w:p>
        </w:tc>
      </w:tr>
      <w:tr>
        <w:tc>
          <w:tcPr>
            <w:tcW w:type="dxa" w:w="2520"/>
            <w:vAlign w:val="center"/>
          </w:tcPr>
          <w:p>
            <w:r/>
            <w:r>
              <w:rPr>
                <w:rFonts w:ascii="Aptos" w:hAnsi="Aptos"/>
                <w:b w:val="0"/>
                <w:sz w:val="19"/>
              </w:rPr>
              <w:t>Navegador Indeciso</w:t>
            </w:r>
          </w:p>
        </w:tc>
        <w:tc>
          <w:tcPr>
            <w:tcW w:type="dxa" w:w="2520"/>
            <w:vAlign w:val="center"/>
          </w:tcPr>
          <w:p>
            <w:r/>
            <w:r>
              <w:rPr>
                <w:rFonts w:ascii="Aptos" w:hAnsi="Aptos"/>
                <w:b w:val="0"/>
                <w:sz w:val="19"/>
              </w:rPr>
              <w:t>3.413</w:t>
            </w:r>
          </w:p>
        </w:tc>
        <w:tc>
          <w:tcPr>
            <w:tcW w:type="dxa" w:w="2520"/>
            <w:vAlign w:val="center"/>
          </w:tcPr>
          <w:p>
            <w:r/>
            <w:r>
              <w:rPr>
                <w:rFonts w:ascii="Aptos" w:hAnsi="Aptos"/>
                <w:b w:val="0"/>
                <w:sz w:val="19"/>
              </w:rPr>
              <w:t>31,44%</w:t>
            </w:r>
          </w:p>
        </w:tc>
        <w:tc>
          <w:tcPr>
            <w:tcW w:type="dxa" w:w="2520"/>
            <w:vAlign w:val="center"/>
          </w:tcPr>
          <w:p>
            <w:r/>
            <w:r>
              <w:rPr>
                <w:rFonts w:ascii="Aptos" w:hAnsi="Aptos"/>
                <w:b w:val="0"/>
                <w:sz w:val="19"/>
              </w:rPr>
              <w:t>68,56%</w:t>
            </w:r>
          </w:p>
        </w:tc>
      </w:tr>
      <w:tr>
        <w:tc>
          <w:tcPr>
            <w:tcW w:type="dxa" w:w="2520"/>
            <w:vAlign w:val="center"/>
          </w:tcPr>
          <w:p>
            <w:r/>
            <w:r>
              <w:rPr>
                <w:rFonts w:ascii="Aptos" w:hAnsi="Aptos"/>
                <w:b w:val="0"/>
                <w:sz w:val="19"/>
              </w:rPr>
              <w:t>Comprador de Alta Intenção</w:t>
            </w:r>
          </w:p>
        </w:tc>
        <w:tc>
          <w:tcPr>
            <w:tcW w:type="dxa" w:w="2520"/>
            <w:vAlign w:val="center"/>
          </w:tcPr>
          <w:p>
            <w:r/>
            <w:r>
              <w:rPr>
                <w:rFonts w:ascii="Aptos" w:hAnsi="Aptos"/>
                <w:b w:val="0"/>
                <w:sz w:val="19"/>
              </w:rPr>
              <w:t>39.436</w:t>
            </w:r>
          </w:p>
        </w:tc>
        <w:tc>
          <w:tcPr>
            <w:tcW w:type="dxa" w:w="2520"/>
            <w:vAlign w:val="center"/>
          </w:tcPr>
          <w:p>
            <w:r/>
            <w:r>
              <w:rPr>
                <w:rFonts w:ascii="Aptos" w:hAnsi="Aptos"/>
                <w:b w:val="0"/>
                <w:sz w:val="19"/>
              </w:rPr>
              <w:t>37,70%</w:t>
            </w:r>
          </w:p>
        </w:tc>
        <w:tc>
          <w:tcPr>
            <w:tcW w:type="dxa" w:w="2520"/>
            <w:vAlign w:val="center"/>
          </w:tcPr>
          <w:p>
            <w:r/>
            <w:r>
              <w:rPr>
                <w:rFonts w:ascii="Aptos" w:hAnsi="Aptos"/>
                <w:b w:val="0"/>
                <w:sz w:val="19"/>
              </w:rPr>
              <w:t>62,30%</w:t>
            </w:r>
          </w:p>
        </w:tc>
      </w:tr>
      <w:tr>
        <w:tc>
          <w:tcPr>
            <w:tcW w:type="dxa" w:w="2520"/>
            <w:vAlign w:val="center"/>
          </w:tcPr>
          <w:p>
            <w:r/>
            <w:r>
              <w:rPr>
                <w:rFonts w:ascii="Aptos" w:hAnsi="Aptos"/>
                <w:b w:val="0"/>
                <w:sz w:val="19"/>
              </w:rPr>
              <w:t>Caçador de Descontos</w:t>
            </w:r>
          </w:p>
        </w:tc>
        <w:tc>
          <w:tcPr>
            <w:tcW w:type="dxa" w:w="2520"/>
            <w:vAlign w:val="center"/>
          </w:tcPr>
          <w:p>
            <w:r/>
            <w:r>
              <w:rPr>
                <w:rFonts w:ascii="Aptos" w:hAnsi="Aptos"/>
                <w:b w:val="0"/>
                <w:sz w:val="19"/>
              </w:rPr>
              <w:t>7.151</w:t>
            </w:r>
          </w:p>
        </w:tc>
        <w:tc>
          <w:tcPr>
            <w:tcW w:type="dxa" w:w="2520"/>
            <w:vAlign w:val="center"/>
          </w:tcPr>
          <w:p>
            <w:r/>
            <w:r>
              <w:rPr>
                <w:rFonts w:ascii="Aptos" w:hAnsi="Aptos"/>
                <w:b w:val="0"/>
                <w:sz w:val="19"/>
              </w:rPr>
              <w:t>38,47%</w:t>
            </w:r>
          </w:p>
        </w:tc>
        <w:tc>
          <w:tcPr>
            <w:tcW w:type="dxa" w:w="2520"/>
            <w:vAlign w:val="center"/>
          </w:tcPr>
          <w:p>
            <w:r/>
            <w:r>
              <w:rPr>
                <w:rFonts w:ascii="Aptos" w:hAnsi="Aptos"/>
                <w:b w:val="0"/>
                <w:sz w:val="19"/>
              </w:rPr>
              <w:t>61,53%</w:t>
            </w:r>
          </w:p>
        </w:tc>
      </w:tr>
    </w:tbl>
    <w:p/>
    <w:p>
      <w:r>
        <w:t>Silhouette Score obtido: 0,3977.</w:t>
      </w:r>
    </w:p>
    <w:p>
      <w:r>
        <w:t>Os nomes dos perfis representam uma interpretação de negócio dos centroides e dos padrões observados. O Navegador Indeciso apresentou a menor taxa de conversão e a maior taxa de abandono na amostra analisada.</w:t>
      </w:r>
    </w:p>
    <w:p>
      <w:pPr>
        <w:pStyle w:val="Heading1"/>
      </w:pPr>
      <w:r>
        <w:t>9. Matriz de decisão comercial</w:t>
      </w:r>
    </w:p>
    <w:p>
      <w:r>
        <w:t>O score de propensão é combinado com o perfil comportamental para determinar uma ação comercial. A matriz foi criada como uma camada de regra de negócio posterior aos modelos.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9"/>
              </w:rPr>
              <w:t>Perfil</w:t>
            </w:r>
          </w:p>
        </w:tc>
        <w:tc>
          <w:tcPr>
            <w:tcW w:type="dxa" w:w="2520"/>
            <w:vAlign w:val="center"/>
            <w:shd w:fill="D9EAF7"/>
          </w:tcPr>
          <w:p>
            <w:r/>
            <w:r>
              <w:rPr>
                <w:rFonts w:ascii="Aptos" w:hAnsi="Aptos"/>
                <w:b/>
                <w:sz w:val="19"/>
              </w:rPr>
              <w:t>Baixa propensão</w:t>
            </w:r>
          </w:p>
        </w:tc>
        <w:tc>
          <w:tcPr>
            <w:tcW w:type="dxa" w:w="2520"/>
            <w:vAlign w:val="center"/>
            <w:shd w:fill="D9EAF7"/>
          </w:tcPr>
          <w:p>
            <w:r/>
            <w:r>
              <w:rPr>
                <w:rFonts w:ascii="Aptos" w:hAnsi="Aptos"/>
                <w:b/>
                <w:sz w:val="19"/>
              </w:rPr>
              <w:t>Moderada propensão</w:t>
            </w:r>
          </w:p>
        </w:tc>
        <w:tc>
          <w:tcPr>
            <w:tcW w:type="dxa" w:w="2520"/>
            <w:vAlign w:val="center"/>
            <w:shd w:fill="D9EAF7"/>
          </w:tcPr>
          <w:p>
            <w:r/>
            <w:r>
              <w:rPr>
                <w:rFonts w:ascii="Aptos" w:hAnsi="Aptos"/>
                <w:b/>
                <w:sz w:val="19"/>
              </w:rPr>
              <w:t>Alta propensão</w:t>
            </w:r>
          </w:p>
        </w:tc>
      </w:tr>
      <w:tr>
        <w:tc>
          <w:tcPr>
            <w:tcW w:type="dxa" w:w="2520"/>
            <w:vAlign w:val="center"/>
          </w:tcPr>
          <w:p>
            <w:r/>
            <w:r>
              <w:rPr>
                <w:rFonts w:ascii="Aptos" w:hAnsi="Aptos"/>
                <w:b w:val="0"/>
                <w:sz w:val="19"/>
              </w:rPr>
              <w:t>Comprador de Alta Intenção</w:t>
            </w:r>
          </w:p>
        </w:tc>
        <w:tc>
          <w:tcPr>
            <w:tcW w:type="dxa" w:w="2520"/>
            <w:vAlign w:val="center"/>
          </w:tcPr>
          <w:p>
            <w:r/>
            <w:r>
              <w:rPr>
                <w:rFonts w:ascii="Aptos" w:hAnsi="Aptos"/>
                <w:b w:val="0"/>
                <w:sz w:val="19"/>
              </w:rPr>
              <w:t>Notificação simples</w:t>
            </w:r>
          </w:p>
        </w:tc>
        <w:tc>
          <w:tcPr>
            <w:tcW w:type="dxa" w:w="2520"/>
            <w:vAlign w:val="center"/>
          </w:tcPr>
          <w:p>
            <w:r/>
            <w:r>
              <w:rPr>
                <w:rFonts w:ascii="Aptos" w:hAnsi="Aptos"/>
                <w:b w:val="0"/>
                <w:sz w:val="19"/>
              </w:rPr>
              <w:t>Notificação de escassez</w:t>
            </w:r>
          </w:p>
        </w:tc>
        <w:tc>
          <w:tcPr>
            <w:tcW w:type="dxa" w:w="2520"/>
            <w:vAlign w:val="center"/>
          </w:tcPr>
          <w:p>
            <w:r/>
            <w:r>
              <w:rPr>
                <w:rFonts w:ascii="Aptos" w:hAnsi="Aptos"/>
                <w:b w:val="0"/>
                <w:sz w:val="19"/>
              </w:rPr>
              <w:t>Frete grátis</w:t>
            </w:r>
          </w:p>
        </w:tc>
      </w:tr>
      <w:tr>
        <w:tc>
          <w:tcPr>
            <w:tcW w:type="dxa" w:w="2520"/>
            <w:vAlign w:val="center"/>
          </w:tcPr>
          <w:p>
            <w:r/>
            <w:r>
              <w:rPr>
                <w:rFonts w:ascii="Aptos" w:hAnsi="Aptos"/>
                <w:b w:val="0"/>
                <w:sz w:val="19"/>
              </w:rPr>
              <w:t>Navegador Indeciso</w:t>
            </w:r>
          </w:p>
        </w:tc>
        <w:tc>
          <w:tcPr>
            <w:tcW w:type="dxa" w:w="2520"/>
            <w:vAlign w:val="center"/>
          </w:tcPr>
          <w:p>
            <w:r/>
            <w:r>
              <w:rPr>
                <w:rFonts w:ascii="Aptos" w:hAnsi="Aptos"/>
                <w:b w:val="0"/>
                <w:sz w:val="19"/>
              </w:rPr>
              <w:t>Prova social</w:t>
            </w:r>
          </w:p>
        </w:tc>
        <w:tc>
          <w:tcPr>
            <w:tcW w:type="dxa" w:w="2520"/>
            <w:vAlign w:val="center"/>
          </w:tcPr>
          <w:p>
            <w:r/>
            <w:r>
              <w:rPr>
                <w:rFonts w:ascii="Aptos" w:hAnsi="Aptos"/>
                <w:b w:val="0"/>
                <w:sz w:val="19"/>
              </w:rPr>
              <w:t>Frete grátis</w:t>
            </w:r>
          </w:p>
        </w:tc>
        <w:tc>
          <w:tcPr>
            <w:tcW w:type="dxa" w:w="2520"/>
            <w:vAlign w:val="center"/>
          </w:tcPr>
          <w:p>
            <w:r/>
            <w:r>
              <w:rPr>
                <w:rFonts w:ascii="Aptos" w:hAnsi="Aptos"/>
                <w:b w:val="0"/>
                <w:sz w:val="19"/>
              </w:rPr>
              <w:t>Frete grátis + 5% OFF</w:t>
            </w:r>
          </w:p>
        </w:tc>
      </w:tr>
      <w:tr>
        <w:tc>
          <w:tcPr>
            <w:tcW w:type="dxa" w:w="2520"/>
            <w:vAlign w:val="center"/>
          </w:tcPr>
          <w:p>
            <w:r/>
            <w:r>
              <w:rPr>
                <w:rFonts w:ascii="Aptos" w:hAnsi="Aptos"/>
                <w:b w:val="0"/>
                <w:sz w:val="19"/>
              </w:rPr>
              <w:t>Caçador de Descontos</w:t>
            </w:r>
          </w:p>
        </w:tc>
        <w:tc>
          <w:tcPr>
            <w:tcW w:type="dxa" w:w="2520"/>
            <w:vAlign w:val="center"/>
          </w:tcPr>
          <w:p>
            <w:r/>
            <w:r>
              <w:rPr>
                <w:rFonts w:ascii="Aptos" w:hAnsi="Aptos"/>
                <w:b w:val="0"/>
                <w:sz w:val="19"/>
              </w:rPr>
              <w:t>Moedas / pontos</w:t>
            </w:r>
          </w:p>
        </w:tc>
        <w:tc>
          <w:tcPr>
            <w:tcW w:type="dxa" w:w="2520"/>
            <w:vAlign w:val="center"/>
          </w:tcPr>
          <w:p>
            <w:r/>
            <w:r>
              <w:rPr>
                <w:rFonts w:ascii="Aptos" w:hAnsi="Aptos"/>
                <w:b w:val="0"/>
                <w:sz w:val="19"/>
              </w:rPr>
              <w:t>Cupom 5% OFF ou frete</w:t>
            </w:r>
          </w:p>
        </w:tc>
        <w:tc>
          <w:tcPr>
            <w:tcW w:type="dxa" w:w="2520"/>
            <w:vAlign w:val="center"/>
          </w:tcPr>
          <w:p>
            <w:r/>
            <w:r>
              <w:rPr>
                <w:rFonts w:ascii="Aptos" w:hAnsi="Aptos"/>
                <w:b w:val="0"/>
                <w:sz w:val="19"/>
              </w:rPr>
              <w:t>Frete grátis + 10% a 15% OFF</w:t>
            </w:r>
          </w:p>
        </w:tc>
      </w:tr>
    </w:tbl>
    <w:p/>
    <w:p>
      <w:r>
        <w:t>A proposta é evitar uma política única de descontos. Clientes com perfis e scores diferentes recebem intervenções de intensidade diferente, buscando equilibrar recuperação de venda e custo promocional.</w:t>
      </w:r>
    </w:p>
    <w:p>
      <w:pPr>
        <w:pStyle w:val="Heading1"/>
      </w:pPr>
      <w:r>
        <w:t>10. Dashboard de resultados</w:t>
      </w:r>
    </w:p>
    <w:p>
      <w:r>
        <w:t>O dashboard foi desenvolvido em Streamlit e validado localmente. Ele reúne os resultados da engenharia de dados, modelagem e regras de decisão em cinco visões.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Visão</w:t>
            </w:r>
          </w:p>
        </w:tc>
        <w:tc>
          <w:tcPr>
            <w:tcW w:type="dxa" w:w="5040"/>
            <w:vAlign w:val="center"/>
            <w:shd w:fill="D9EAF7"/>
          </w:tcPr>
          <w:p>
            <w:r/>
            <w:r>
              <w:rPr>
                <w:rFonts w:ascii="Aptos" w:hAnsi="Aptos"/>
                <w:b/>
                <w:sz w:val="19"/>
              </w:rPr>
              <w:t>Conteúdo</w:t>
            </w:r>
          </w:p>
        </w:tc>
      </w:tr>
      <w:tr>
        <w:tc>
          <w:tcPr>
            <w:tcW w:type="dxa" w:w="5040"/>
            <w:vAlign w:val="center"/>
          </w:tcPr>
          <w:p>
            <w:r/>
            <w:r>
              <w:rPr>
                <w:rFonts w:ascii="Aptos" w:hAnsi="Aptos"/>
                <w:b w:val="0"/>
                <w:sz w:val="19"/>
              </w:rPr>
              <w:t>Visão Geral</w:t>
            </w:r>
          </w:p>
        </w:tc>
        <w:tc>
          <w:tcPr>
            <w:tcW w:type="dxa" w:w="5040"/>
            <w:vAlign w:val="center"/>
          </w:tcPr>
          <w:p>
            <w:r/>
            <w:r>
              <w:rPr>
                <w:rFonts w:ascii="Aptos" w:hAnsi="Aptos"/>
                <w:b w:val="0"/>
                <w:sz w:val="19"/>
              </w:rPr>
              <w:t>Eventos, sessões, abandono, conversão e taxas</w:t>
            </w:r>
          </w:p>
        </w:tc>
      </w:tr>
      <w:tr>
        <w:tc>
          <w:tcPr>
            <w:tcW w:type="dxa" w:w="5040"/>
            <w:vAlign w:val="center"/>
          </w:tcPr>
          <w:p>
            <w:r/>
            <w:r>
              <w:rPr>
                <w:rFonts w:ascii="Aptos" w:hAnsi="Aptos"/>
                <w:b w:val="0"/>
                <w:sz w:val="19"/>
              </w:rPr>
              <w:t>Modelo de Propensão</w:t>
            </w:r>
          </w:p>
        </w:tc>
        <w:tc>
          <w:tcPr>
            <w:tcW w:type="dxa" w:w="5040"/>
            <w:vAlign w:val="center"/>
          </w:tcPr>
          <w:p>
            <w:r/>
            <w:r>
              <w:rPr>
                <w:rFonts w:ascii="Aptos" w:hAnsi="Aptos"/>
                <w:b w:val="0"/>
                <w:sz w:val="19"/>
              </w:rPr>
              <w:t>Accuracy, Precision, Recall, F1, ROC-AUC e distribuição dos scores</w:t>
            </w:r>
          </w:p>
        </w:tc>
      </w:tr>
      <w:tr>
        <w:tc>
          <w:tcPr>
            <w:tcW w:type="dxa" w:w="5040"/>
            <w:vAlign w:val="center"/>
          </w:tcPr>
          <w:p>
            <w:r/>
            <w:r>
              <w:rPr>
                <w:rFonts w:ascii="Aptos" w:hAnsi="Aptos"/>
                <w:b w:val="0"/>
                <w:sz w:val="19"/>
              </w:rPr>
              <w:t>Perfis de Clientes</w:t>
            </w:r>
          </w:p>
        </w:tc>
        <w:tc>
          <w:tcPr>
            <w:tcW w:type="dxa" w:w="5040"/>
            <w:vAlign w:val="center"/>
          </w:tcPr>
          <w:p>
            <w:r/>
            <w:r>
              <w:rPr>
                <w:rFonts w:ascii="Aptos" w:hAnsi="Aptos"/>
                <w:b w:val="0"/>
                <w:sz w:val="19"/>
              </w:rPr>
              <w:t>Silhouette Score, clusters e conversão/abandono por perfil</w:t>
            </w:r>
          </w:p>
        </w:tc>
      </w:tr>
      <w:tr>
        <w:tc>
          <w:tcPr>
            <w:tcW w:type="dxa" w:w="5040"/>
            <w:vAlign w:val="center"/>
          </w:tcPr>
          <w:p>
            <w:r/>
            <w:r>
              <w:rPr>
                <w:rFonts w:ascii="Aptos" w:hAnsi="Aptos"/>
                <w:b w:val="0"/>
                <w:sz w:val="19"/>
              </w:rPr>
              <w:t>Matriz de Decisão</w:t>
            </w:r>
          </w:p>
        </w:tc>
        <w:tc>
          <w:tcPr>
            <w:tcW w:type="dxa" w:w="5040"/>
            <w:vAlign w:val="center"/>
          </w:tcPr>
          <w:p>
            <w:r/>
            <w:r>
              <w:rPr>
                <w:rFonts w:ascii="Aptos" w:hAnsi="Aptos"/>
                <w:b w:val="0"/>
                <w:sz w:val="19"/>
              </w:rPr>
              <w:t>Regras perfil x faixa de score x ação</w:t>
            </w:r>
          </w:p>
        </w:tc>
      </w:tr>
      <w:tr>
        <w:tc>
          <w:tcPr>
            <w:tcW w:type="dxa" w:w="5040"/>
            <w:vAlign w:val="center"/>
          </w:tcPr>
          <w:p>
            <w:r/>
            <w:r>
              <w:rPr>
                <w:rFonts w:ascii="Aptos" w:hAnsi="Aptos"/>
                <w:b w:val="0"/>
                <w:sz w:val="19"/>
              </w:rPr>
              <w:t>Simulador</w:t>
            </w:r>
          </w:p>
        </w:tc>
        <w:tc>
          <w:tcPr>
            <w:tcW w:type="dxa" w:w="5040"/>
            <w:vAlign w:val="center"/>
          </w:tcPr>
          <w:p>
            <w:r/>
            <w:r>
              <w:rPr>
                <w:rFonts w:ascii="Aptos" w:hAnsi="Aptos"/>
                <w:b w:val="0"/>
                <w:sz w:val="19"/>
              </w:rPr>
              <w:t>Seleção de perfil e score para retornar a ação recomendada</w:t>
            </w:r>
          </w:p>
        </w:tc>
      </w:tr>
    </w:tbl>
    <w:p/>
    <w:p>
      <w:r>
        <w:t>Na validação funcional, por exemplo, o perfil Comprador de Alta Intenção com score de 85% foi classificado como Alta Propensão e recebeu a recomendação de Frete Grátis.</w:t>
      </w:r>
    </w:p>
    <w:p>
      <w:pPr>
        <w:pStyle w:val="Heading1"/>
      </w:pPr>
      <w:r>
        <w:t>11. Testes e validação funcional</w:t>
      </w:r>
    </w:p>
    <w:p>
      <w:r>
        <w:t>Foram criados testes automatizados com pytest para validar as regras centrais da matriz de decisão. Os testes cobrem as três faixas de score, os limites entre faixas, as nove combinações principais entre perfil e propensão, o mapeamento dos três clusters e entradas inválidas.</w:t>
      </w:r>
    </w:p>
    <w:p>
      <w:r>
        <w:rPr>
          <w:b/>
        </w:rPr>
        <w:t>Resultado da execução local: 19 testes aprovados (19 passed).</w:t>
      </w:r>
    </w:p>
    <w:p>
      <w:r>
        <w:t>Além dos testes automatizados, o dashboard foi validado funcionalmente em todas as áreas principais, incluindo modelo de propensão, perfis e simulador.</w:t>
      </w:r>
    </w:p>
    <w:p>
      <w:pPr>
        <w:pStyle w:val="Heading1"/>
      </w:pPr>
      <w:r>
        <w:t>12. CI/CD</w:t>
      </w:r>
    </w:p>
    <w:p>
      <w:r>
        <w:t>Foi configurado um workflow de integração contínua no GitHub Actions. O pipeline é disparado em push e pull request para a branch main e executa checkout do repositório, configuração do Python, instalação de dependências, validação de sintaxe e execução dos testes automatizados.</w:t>
      </w:r>
    </w:p>
    <w:p>
      <w:r>
        <w:t>Durante a primeira execução, o CI identificou um problema de resolução do módulo src no ambiente Linux. O PYTHONPATH do workspace foi configurado no workflow e as execuções seguintes foram concluídas com sucesso. Esse comportamento também demonstra o papel do CI em detectar diferenças entre o ambiente local e o ambiente de integração.</w:t>
      </w:r>
    </w:p>
    <w:p>
      <w:pPr>
        <w:pStyle w:val="Heading1"/>
      </w:pPr>
      <w:r>
        <w:t>13. Tecnologias utilizadas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Categoria</w:t>
            </w:r>
          </w:p>
        </w:tc>
        <w:tc>
          <w:tcPr>
            <w:tcW w:type="dxa" w:w="5040"/>
            <w:vAlign w:val="center"/>
            <w:shd w:fill="D9EAF7"/>
          </w:tcPr>
          <w:p>
            <w:r/>
            <w:r>
              <w:rPr>
                <w:rFonts w:ascii="Aptos" w:hAnsi="Aptos"/>
                <w:b/>
                <w:sz w:val="19"/>
              </w:rPr>
              <w:t>Tecnologias</w:t>
            </w:r>
          </w:p>
        </w:tc>
      </w:tr>
      <w:tr>
        <w:tc>
          <w:tcPr>
            <w:tcW w:type="dxa" w:w="5040"/>
            <w:vAlign w:val="center"/>
          </w:tcPr>
          <w:p>
            <w:r/>
            <w:r>
              <w:rPr>
                <w:rFonts w:ascii="Aptos" w:hAnsi="Aptos"/>
                <w:b w:val="0"/>
                <w:sz w:val="19"/>
              </w:rPr>
              <w:t>Dados e processamento</w:t>
            </w:r>
          </w:p>
        </w:tc>
        <w:tc>
          <w:tcPr>
            <w:tcW w:type="dxa" w:w="5040"/>
            <w:vAlign w:val="center"/>
          </w:tcPr>
          <w:p>
            <w:r/>
            <w:r>
              <w:rPr>
                <w:rFonts w:ascii="Aptos" w:hAnsi="Aptos"/>
                <w:b w:val="0"/>
                <w:sz w:val="19"/>
              </w:rPr>
              <w:t>Python, PySpark, Apache Spark</w:t>
            </w:r>
          </w:p>
        </w:tc>
      </w:tr>
      <w:tr>
        <w:tc>
          <w:tcPr>
            <w:tcW w:type="dxa" w:w="5040"/>
            <w:vAlign w:val="center"/>
          </w:tcPr>
          <w:p>
            <w:r/>
            <w:r>
              <w:rPr>
                <w:rFonts w:ascii="Aptos" w:hAnsi="Aptos"/>
                <w:b w:val="0"/>
                <w:sz w:val="19"/>
              </w:rPr>
              <w:t>Streaming / mensageria</w:t>
            </w:r>
          </w:p>
        </w:tc>
        <w:tc>
          <w:tcPr>
            <w:tcW w:type="dxa" w:w="5040"/>
            <w:vAlign w:val="center"/>
          </w:tcPr>
          <w:p>
            <w:r/>
            <w:r>
              <w:rPr>
                <w:rFonts w:ascii="Aptos" w:hAnsi="Aptos"/>
                <w:b w:val="0"/>
                <w:sz w:val="19"/>
              </w:rPr>
              <w:t>Apache Kafka</w:t>
            </w:r>
          </w:p>
        </w:tc>
      </w:tr>
      <w:tr>
        <w:tc>
          <w:tcPr>
            <w:tcW w:type="dxa" w:w="5040"/>
            <w:vAlign w:val="center"/>
          </w:tcPr>
          <w:p>
            <w:r/>
            <w:r>
              <w:rPr>
                <w:rFonts w:ascii="Aptos" w:hAnsi="Aptos"/>
                <w:b w:val="0"/>
                <w:sz w:val="19"/>
              </w:rPr>
              <w:t>Cloud / Data Lake</w:t>
            </w:r>
          </w:p>
        </w:tc>
        <w:tc>
          <w:tcPr>
            <w:tcW w:type="dxa" w:w="5040"/>
            <w:vAlign w:val="center"/>
          </w:tcPr>
          <w:p>
            <w:r/>
            <w:r>
              <w:rPr>
                <w:rFonts w:ascii="Aptos" w:hAnsi="Aptos"/>
                <w:b w:val="0"/>
                <w:sz w:val="19"/>
              </w:rPr>
              <w:t>AWS, Amazon S3, boto3</w:t>
            </w:r>
          </w:p>
        </w:tc>
      </w:tr>
      <w:tr>
        <w:tc>
          <w:tcPr>
            <w:tcW w:type="dxa" w:w="5040"/>
            <w:vAlign w:val="center"/>
          </w:tcPr>
          <w:p>
            <w:r/>
            <w:r>
              <w:rPr>
                <w:rFonts w:ascii="Aptos" w:hAnsi="Aptos"/>
                <w:b w:val="0"/>
                <w:sz w:val="19"/>
              </w:rPr>
              <w:t>Persistência / serving</w:t>
            </w:r>
          </w:p>
        </w:tc>
        <w:tc>
          <w:tcPr>
            <w:tcW w:type="dxa" w:w="5040"/>
            <w:vAlign w:val="center"/>
          </w:tcPr>
          <w:p>
            <w:r/>
            <w:r>
              <w:rPr>
                <w:rFonts w:ascii="Aptos" w:hAnsi="Aptos"/>
                <w:b w:val="0"/>
                <w:sz w:val="19"/>
              </w:rPr>
              <w:t>PostgreSQL</w:t>
            </w:r>
          </w:p>
        </w:tc>
      </w:tr>
      <w:tr>
        <w:tc>
          <w:tcPr>
            <w:tcW w:type="dxa" w:w="5040"/>
            <w:vAlign w:val="center"/>
          </w:tcPr>
          <w:p>
            <w:r/>
            <w:r>
              <w:rPr>
                <w:rFonts w:ascii="Aptos" w:hAnsi="Aptos"/>
                <w:b w:val="0"/>
                <w:sz w:val="19"/>
              </w:rPr>
              <w:t>Machine Learning</w:t>
            </w:r>
          </w:p>
        </w:tc>
        <w:tc>
          <w:tcPr>
            <w:tcW w:type="dxa" w:w="5040"/>
            <w:vAlign w:val="center"/>
          </w:tcPr>
          <w:p>
            <w:r/>
            <w:r>
              <w:rPr>
                <w:rFonts w:ascii="Aptos" w:hAnsi="Aptos"/>
                <w:b w:val="0"/>
                <w:sz w:val="19"/>
              </w:rPr>
              <w:t>pandas, scikit-learn, Random Forest, K-Means, joblib</w:t>
            </w:r>
          </w:p>
        </w:tc>
      </w:tr>
      <w:tr>
        <w:tc>
          <w:tcPr>
            <w:tcW w:type="dxa" w:w="5040"/>
            <w:vAlign w:val="center"/>
          </w:tcPr>
          <w:p>
            <w:r/>
            <w:r>
              <w:rPr>
                <w:rFonts w:ascii="Aptos" w:hAnsi="Aptos"/>
                <w:b w:val="0"/>
                <w:sz w:val="19"/>
              </w:rPr>
              <w:t>Visualização</w:t>
            </w:r>
          </w:p>
        </w:tc>
        <w:tc>
          <w:tcPr>
            <w:tcW w:type="dxa" w:w="5040"/>
            <w:vAlign w:val="center"/>
          </w:tcPr>
          <w:p>
            <w:r/>
            <w:r>
              <w:rPr>
                <w:rFonts w:ascii="Aptos" w:hAnsi="Aptos"/>
                <w:b w:val="0"/>
                <w:sz w:val="19"/>
              </w:rPr>
              <w:t>Streamlit</w:t>
            </w:r>
          </w:p>
        </w:tc>
      </w:tr>
      <w:tr>
        <w:tc>
          <w:tcPr>
            <w:tcW w:type="dxa" w:w="5040"/>
            <w:vAlign w:val="center"/>
          </w:tcPr>
          <w:p>
            <w:r/>
            <w:r>
              <w:rPr>
                <w:rFonts w:ascii="Aptos" w:hAnsi="Aptos"/>
                <w:b w:val="0"/>
                <w:sz w:val="19"/>
              </w:rPr>
              <w:t>Infraestrutura / DevOps</w:t>
            </w:r>
          </w:p>
        </w:tc>
        <w:tc>
          <w:tcPr>
            <w:tcW w:type="dxa" w:w="5040"/>
            <w:vAlign w:val="center"/>
          </w:tcPr>
          <w:p>
            <w:r/>
            <w:r>
              <w:rPr>
                <w:rFonts w:ascii="Aptos" w:hAnsi="Aptos"/>
                <w:b w:val="0"/>
                <w:sz w:val="19"/>
              </w:rPr>
              <w:t>Docker, Docker Compose, Terraform, Git, GitHub, GitHub Actions</w:t>
            </w:r>
          </w:p>
        </w:tc>
      </w:tr>
    </w:tbl>
    <w:p/>
    <w:p>
      <w:pPr>
        <w:pStyle w:val="Heading1"/>
      </w:pPr>
      <w:r>
        <w:t>14. Atendimento aos itens da entrega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Item solicitado</w:t>
            </w:r>
          </w:p>
        </w:tc>
        <w:tc>
          <w:tcPr>
            <w:tcW w:type="dxa" w:w="3360"/>
            <w:vAlign w:val="center"/>
            <w:shd w:fill="D9EAF7"/>
          </w:tcPr>
          <w:p>
            <w:r/>
            <w:r>
              <w:rPr>
                <w:rFonts w:ascii="Aptos" w:hAnsi="Aptos"/>
                <w:b/>
                <w:sz w:val="19"/>
              </w:rPr>
              <w:t>Evidência implementada</w:t>
            </w:r>
          </w:p>
        </w:tc>
        <w:tc>
          <w:tcPr>
            <w:tcW w:type="dxa" w:w="3360"/>
            <w:vAlign w:val="center"/>
            <w:shd w:fill="D9EAF7"/>
          </w:tcPr>
          <w:p>
            <w:r/>
            <w:r>
              <w:rPr>
                <w:rFonts w:ascii="Aptos" w:hAnsi="Aptos"/>
                <w:b/>
                <w:sz w:val="19"/>
              </w:rPr>
              <w:t>Status</w:t>
            </w:r>
          </w:p>
        </w:tc>
      </w:tr>
      <w:tr>
        <w:tc>
          <w:tcPr>
            <w:tcW w:type="dxa" w:w="3360"/>
            <w:vAlign w:val="center"/>
          </w:tcPr>
          <w:p>
            <w:r/>
            <w:r>
              <w:rPr>
                <w:rFonts w:ascii="Aptos" w:hAnsi="Aptos"/>
                <w:b w:val="0"/>
                <w:sz w:val="19"/>
              </w:rPr>
              <w:t>Finalização do Desenvolvimento</w:t>
            </w:r>
          </w:p>
        </w:tc>
        <w:tc>
          <w:tcPr>
            <w:tcW w:type="dxa" w:w="3360"/>
            <w:vAlign w:val="center"/>
          </w:tcPr>
          <w:p>
            <w:r/>
            <w:r>
              <w:rPr>
                <w:rFonts w:ascii="Aptos" w:hAnsi="Aptos"/>
                <w:b w:val="0"/>
                <w:sz w:val="19"/>
              </w:rPr>
              <w:t>Pipeline de dados, Gold, ML, segmentação, matriz e dashboard</w:t>
            </w:r>
          </w:p>
        </w:tc>
        <w:tc>
          <w:tcPr>
            <w:tcW w:type="dxa" w:w="3360"/>
            <w:vAlign w:val="center"/>
          </w:tcPr>
          <w:p>
            <w:r/>
            <w:r>
              <w:rPr>
                <w:rFonts w:ascii="Aptos" w:hAnsi="Aptos"/>
                <w:b w:val="0"/>
                <w:sz w:val="19"/>
              </w:rPr>
              <w:t>Atendido</w:t>
            </w:r>
          </w:p>
        </w:tc>
      </w:tr>
      <w:tr>
        <w:tc>
          <w:tcPr>
            <w:tcW w:type="dxa" w:w="3360"/>
            <w:vAlign w:val="center"/>
          </w:tcPr>
          <w:p>
            <w:r/>
            <w:r>
              <w:rPr>
                <w:rFonts w:ascii="Aptos" w:hAnsi="Aptos"/>
                <w:b w:val="0"/>
                <w:sz w:val="19"/>
              </w:rPr>
              <w:t>Análise dos resultados</w:t>
            </w:r>
          </w:p>
        </w:tc>
        <w:tc>
          <w:tcPr>
            <w:tcW w:type="dxa" w:w="3360"/>
            <w:vAlign w:val="center"/>
          </w:tcPr>
          <w:p>
            <w:r/>
            <w:r>
              <w:rPr>
                <w:rFonts w:ascii="Aptos" w:hAnsi="Aptos"/>
                <w:b w:val="0"/>
                <w:sz w:val="19"/>
              </w:rPr>
              <w:t>Métricas do funil, modelo, clusters e interpretação dos resultados</w:t>
            </w:r>
          </w:p>
        </w:tc>
        <w:tc>
          <w:tcPr>
            <w:tcW w:type="dxa" w:w="3360"/>
            <w:vAlign w:val="center"/>
          </w:tcPr>
          <w:p>
            <w:r/>
            <w:r>
              <w:rPr>
                <w:rFonts w:ascii="Aptos" w:hAnsi="Aptos"/>
                <w:b w:val="0"/>
                <w:sz w:val="19"/>
              </w:rPr>
              <w:t>Atendido</w:t>
            </w:r>
          </w:p>
        </w:tc>
      </w:tr>
      <w:tr>
        <w:tc>
          <w:tcPr>
            <w:tcW w:type="dxa" w:w="3360"/>
            <w:vAlign w:val="center"/>
          </w:tcPr>
          <w:p>
            <w:r/>
            <w:r>
              <w:rPr>
                <w:rFonts w:ascii="Aptos" w:hAnsi="Aptos"/>
                <w:b w:val="0"/>
                <w:sz w:val="19"/>
              </w:rPr>
              <w:t>Testes e validação funcional</w:t>
            </w:r>
          </w:p>
        </w:tc>
        <w:tc>
          <w:tcPr>
            <w:tcW w:type="dxa" w:w="3360"/>
            <w:vAlign w:val="center"/>
          </w:tcPr>
          <w:p>
            <w:r/>
            <w:r>
              <w:rPr>
                <w:rFonts w:ascii="Aptos" w:hAnsi="Aptos"/>
                <w:b w:val="0"/>
                <w:sz w:val="19"/>
              </w:rPr>
              <w:t>19 testes pytest + validação das telas e simulador</w:t>
            </w:r>
          </w:p>
        </w:tc>
        <w:tc>
          <w:tcPr>
            <w:tcW w:type="dxa" w:w="3360"/>
            <w:vAlign w:val="center"/>
          </w:tcPr>
          <w:p>
            <w:r/>
            <w:r>
              <w:rPr>
                <w:rFonts w:ascii="Aptos" w:hAnsi="Aptos"/>
                <w:b w:val="0"/>
                <w:sz w:val="19"/>
              </w:rPr>
              <w:t>Atendido</w:t>
            </w:r>
          </w:p>
        </w:tc>
      </w:tr>
      <w:tr>
        <w:tc>
          <w:tcPr>
            <w:tcW w:type="dxa" w:w="3360"/>
            <w:vAlign w:val="center"/>
          </w:tcPr>
          <w:p>
            <w:r/>
            <w:r>
              <w:rPr>
                <w:rFonts w:ascii="Aptos" w:hAnsi="Aptos"/>
                <w:b w:val="0"/>
                <w:sz w:val="19"/>
              </w:rPr>
              <w:t>Modelagem Preditiva ou Classificatória</w:t>
            </w:r>
          </w:p>
        </w:tc>
        <w:tc>
          <w:tcPr>
            <w:tcW w:type="dxa" w:w="3360"/>
            <w:vAlign w:val="center"/>
          </w:tcPr>
          <w:p>
            <w:r/>
            <w:r>
              <w:rPr>
                <w:rFonts w:ascii="Aptos" w:hAnsi="Aptos"/>
                <w:b w:val="0"/>
                <w:sz w:val="19"/>
              </w:rPr>
              <w:t>Random Forest com score de propensão à conversão</w:t>
            </w:r>
          </w:p>
        </w:tc>
        <w:tc>
          <w:tcPr>
            <w:tcW w:type="dxa" w:w="3360"/>
            <w:vAlign w:val="center"/>
          </w:tcPr>
          <w:p>
            <w:r/>
            <w:r>
              <w:rPr>
                <w:rFonts w:ascii="Aptos" w:hAnsi="Aptos"/>
                <w:b w:val="0"/>
                <w:sz w:val="19"/>
              </w:rPr>
              <w:t>Atendido</w:t>
            </w:r>
          </w:p>
        </w:tc>
      </w:tr>
      <w:tr>
        <w:tc>
          <w:tcPr>
            <w:tcW w:type="dxa" w:w="3360"/>
            <w:vAlign w:val="center"/>
          </w:tcPr>
          <w:p>
            <w:r/>
            <w:r>
              <w:rPr>
                <w:rFonts w:ascii="Aptos" w:hAnsi="Aptos"/>
                <w:b w:val="0"/>
                <w:sz w:val="19"/>
              </w:rPr>
              <w:t>Dashboard de resultados</w:t>
            </w:r>
          </w:p>
        </w:tc>
        <w:tc>
          <w:tcPr>
            <w:tcW w:type="dxa" w:w="3360"/>
            <w:vAlign w:val="center"/>
          </w:tcPr>
          <w:p>
            <w:r/>
            <w:r>
              <w:rPr>
                <w:rFonts w:ascii="Aptos" w:hAnsi="Aptos"/>
                <w:b w:val="0"/>
                <w:sz w:val="19"/>
              </w:rPr>
              <w:t>Dashboard Streamlit com cinco visões</w:t>
            </w:r>
          </w:p>
        </w:tc>
        <w:tc>
          <w:tcPr>
            <w:tcW w:type="dxa" w:w="3360"/>
            <w:vAlign w:val="center"/>
          </w:tcPr>
          <w:p>
            <w:r/>
            <w:r>
              <w:rPr>
                <w:rFonts w:ascii="Aptos" w:hAnsi="Aptos"/>
                <w:b w:val="0"/>
                <w:sz w:val="19"/>
              </w:rPr>
              <w:t>Atendido</w:t>
            </w:r>
          </w:p>
        </w:tc>
      </w:tr>
    </w:tbl>
    <w:p/>
    <w:p>
      <w:pPr>
        <w:pStyle w:val="Heading1"/>
      </w:pPr>
      <w:r>
        <w:t>15. Limitações e próximos passos</w:t>
      </w:r>
    </w:p>
    <w:p>
      <w:r>
        <w:t>A solução atual deve ser entendida como um MVP acadêmico funcional. As principais evoluções recomendadas são: melhorar a engenharia de features, comparar algoritmos, realizar tuning e calibração do score, revisar os thresholds com base em custo/benefício, medir uplift das intervenções, executar testes A/B, evoluir o processamento Kafka para gatilhos temporais reais, ampliar Data Quality e observabilidade e aprofundar a automação de infraestrutura.</w:t>
      </w:r>
    </w:p>
    <w:p>
      <w:pPr>
        <w:pStyle w:val="Heading1"/>
      </w:pPr>
      <w:r>
        <w:t>16. Conclusão</w:t>
      </w:r>
    </w:p>
    <w:p>
      <w:r>
        <w:t>A entrega demonstra um fluxo de Engenharia de Dados de ponta a ponta aplicado a um problema de e-commerce. Mais de 67 milhões de eventos foram processados e transformados em uma camada analítica capaz de alimentar modelos de Machine Learning e um dashboard. O projeto conecta arquitetura de dados, processamento distribuído, modelagem, segmentação, regra de negócio, testes e CI/CD em uma solução única.</w:t>
      </w:r>
    </w:p>
    <w:p>
      <w:r>
        <w:t>O resultado principal não é apenas identificar o abandono, mas transformar o histórico de comportamento em um score de propensão e combiná-lo com perfis de clientes para recomendar ações comerciais diferenciadas.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E-commerce Cart Recovery - Hands-On Engenharia de Dados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