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pPr>
      <w:r>
        <w:rPr>
          <w:b/>
          <w:bCs/>
          <w:sz w:val="32"/>
          <w:szCs w:val="32"/>
        </w:rPr>
        <w:t xml:space="preserve">Αναφορά Προόδου Πτυχιακής Εργασίας</w:t>
      </w:r>
    </w:p>
    <w:p>
      <w:pPr>
        <w:spacing w:after="60" w:line="276"/>
      </w:pPr>
      <w:r>
        <w:rPr>
          <w:i/>
          <w:iCs/>
        </w:rPr>
        <w:t xml:space="preserve">Adaptive Multi-Agent Platform for Personalised Nutrition &amp; Wellness Planning</w:t>
      </w:r>
    </w:p>
    <w:p>
      <w:pPr>
        <w:spacing w:after="300" w:line="276"/>
      </w:pPr>
      <w:r>
        <w:rPr>
          <w:color w:val="555555"/>
          <w:sz w:val="19"/>
          <w:szCs w:val="19"/>
        </w:rPr>
        <w:t xml:space="preserve">Φοιτήτρια: [Ονοματεπώνυμο]     ·     Ημερομηνία: Σεπτέμβριος 2026</w:t>
      </w:r>
    </w:p>
    <w:p>
      <w:pPr>
        <w:pStyle w:val="Heading1"/>
        <w:spacing w:after="160" w:before="360"/>
      </w:pPr>
      <w:r>
        <w:rPr>
          <w:b/>
          <w:bCs/>
          <w:sz w:val="26"/>
          <w:szCs w:val="26"/>
        </w:rPr>
        <w:t xml:space="preserve">1. Σύνοψη</w:t>
      </w:r>
    </w:p>
    <w:p>
      <w:pPr>
        <w:spacing w:after="140" w:line="276"/>
      </w:pPr>
      <w:r>
        <w:t xml:space="preserve">Η υλοποίηση του συστήματος έχει ολοκληρωθεί ως προς τον λειτουργικό της πυρήνα, μαζί με το πλαίσιο αυτοματοποιημένων δοκιμών και το πλαίσιο αξιολόγησης με συνθετικά προφίλ χρηστών. Έχουν παραχθεί τα πρώτα συγκριτικά αποτελέσματα μεταξύ της προσαρμοστικής προσέγγισης, ενός σταθερού διατροφικού πλάνου και ενός μη προσαρμοστικού βοηθού. Εκκρεμεί η ενσωμάτωση του γλωσσικού μοντέλου, για την οποία ζητείται η καθοδήγησή σας (ενότητα 6).</w:t>
      </w:r>
    </w:p>
    <w:p>
      <w:pPr>
        <w:pStyle w:val="Heading1"/>
        <w:spacing w:after="160" w:before="360"/>
      </w:pPr>
      <w:r>
        <w:rPr>
          <w:b/>
          <w:bCs/>
          <w:sz w:val="26"/>
          <w:szCs w:val="26"/>
        </w:rPr>
        <w:t xml:space="preserve">2. Υλοποίηση συστήματος</w:t>
      </w:r>
    </w:p>
    <w:p>
      <w:pPr>
        <w:pStyle w:val="Heading2"/>
        <w:spacing w:after="120" w:before="240"/>
      </w:pPr>
      <w:r>
        <w:rPr>
          <w:b/>
          <w:bCs/>
          <w:sz w:val="23"/>
          <w:szCs w:val="23"/>
        </w:rPr>
        <w:t xml:space="preserve">2.1 Αρχιτεκτονική</w:t>
      </w:r>
    </w:p>
    <w:p>
      <w:pPr>
        <w:spacing w:after="140" w:line="276"/>
      </w:pPr>
      <w:r>
        <w:t xml:space="preserve">Υλοποιήθηκαν και οι πέντε συνιστώσες της πρότασης, ως διακριτοί agents που συντονίζονται σε σειριακή ροή:</w:t>
      </w:r>
    </w:p>
    <w:p>
      <w:pPr>
        <w:pStyle w:val="ListParagraph"/>
        <w:numPr>
          <w:ilvl w:val="0"/>
          <w:numId w:val="2"/>
        </w:numPr>
        <w:spacing w:after="80" w:line="276"/>
      </w:pPr>
      <w:r>
        <w:t xml:space="preserve">Planner — παράγει το αρχικό πλάνο σε δομημένους στόχους (θερμίδες, μακροθρεπτικά, κατανομή γευμάτων).</w:t>
      </w:r>
    </w:p>
    <w:p>
      <w:pPr>
        <w:pStyle w:val="ListParagraph"/>
        <w:numPr>
          <w:ilvl w:val="0"/>
          <w:numId w:val="2"/>
        </w:numPr>
        <w:spacing w:after="80" w:line="276"/>
      </w:pPr>
      <w:r>
        <w:t xml:space="preserve">Assessment — αξιολογεί τις καταγραφές του χρήστη και εντοπίζει αποκλίσεις και δυσκολίες τήρησης.</w:t>
      </w:r>
    </w:p>
    <w:p>
      <w:pPr>
        <w:pStyle w:val="ListParagraph"/>
        <w:numPr>
          <w:ilvl w:val="0"/>
          <w:numId w:val="2"/>
        </w:numPr>
        <w:spacing w:after="80" w:line="276"/>
      </w:pPr>
      <w:r>
        <w:t xml:space="preserve">Adaptation — επιλέγει την επόμενη ενέργεια ή αναπροσαρμόζει το πλάνο.</w:t>
      </w:r>
    </w:p>
    <w:p>
      <w:pPr>
        <w:pStyle w:val="ListParagraph"/>
        <w:numPr>
          <w:ilvl w:val="0"/>
          <w:numId w:val="2"/>
        </w:numPr>
        <w:spacing w:after="80" w:line="276"/>
      </w:pPr>
      <w:r>
        <w:t xml:space="preserve">Tutor/Content — παράγει εκπαιδευτικό περιεχόμενο και ανατροφοδότηση.</w:t>
      </w:r>
    </w:p>
    <w:p>
      <w:pPr>
        <w:pStyle w:val="ListParagraph"/>
        <w:numPr>
          <w:ilvl w:val="0"/>
          <w:numId w:val="2"/>
        </w:numPr>
        <w:spacing w:after="80" w:line="276"/>
      </w:pPr>
      <w:r>
        <w:t xml:space="preserve">Supervisor — επικυρώνει κάθε απόφαση έναντι ασφαλών ορίων και καθορίζει αν ο χρήστης προχωρά, σταθεροποιείται, χρειάζεται υποστήριξη ή παραπέμπεται σε ειδικό.</w:t>
      </w:r>
    </w:p>
    <w:p>
      <w:pPr>
        <w:spacing w:after="160" w:line="276"/>
      </w:pPr>
      <w:r>
        <w:t xml:space="preserve">Υποστηρίζονται δύο ροές: η αρχική δημιουργία πλάνου (Planner → Supervisor) και ο κύκλος επαναξιολόγησης (Assessment → Adaptation → Supervisor → Tutor).</w:t>
      </w:r>
    </w:p>
    <w:p>
      <w:pPr>
        <w:pStyle w:val="Heading2"/>
        <w:spacing w:after="120" w:before="240"/>
      </w:pPr>
      <w:r>
        <w:rPr>
          <w:b/>
          <w:bCs/>
          <w:sz w:val="23"/>
          <w:szCs w:val="23"/>
        </w:rPr>
        <w:t xml:space="preserve">2.2 Τεχνολογικές επιλογές</w:t>
      </w:r>
    </w:p>
    <w:p>
      <w:pPr>
        <w:pStyle w:val="ListParagraph"/>
        <w:numPr>
          <w:ilvl w:val="0"/>
          <w:numId w:val="2"/>
        </w:numPr>
        <w:spacing w:after="80" w:line="276"/>
      </w:pPr>
      <w:r>
        <w:t xml:space="preserve">Python, με ασύγχρονο προγραμματισμό για τον συντονισμό των agents. Επιλέχθηκε η αυτόνομη προσέγγιση αντί εξωτερικής βιβλιοθήκης ενορχήστρωσης, ώστε η ροή να παραμένει πλήρως ελεγχόμενη και τεκμηριώσιμη, δεδομένου ότι οι πέντε agents ακολουθούν σαφή σειριακή αλυσίδα.</w:t>
      </w:r>
    </w:p>
    <w:p>
      <w:pPr>
        <w:pStyle w:val="ListParagraph"/>
        <w:numPr>
          <w:ilvl w:val="0"/>
          <w:numId w:val="2"/>
        </w:numPr>
        <w:spacing w:after="80" w:line="276"/>
      </w:pPr>
      <w:r>
        <w:t xml:space="preserve">REST API με FastAPI, με αυτόματη τεκμηρίωση των endpoints.</w:t>
      </w:r>
    </w:p>
    <w:p>
      <w:pPr>
        <w:pStyle w:val="ListParagraph"/>
        <w:numPr>
          <w:ilvl w:val="0"/>
          <w:numId w:val="2"/>
        </w:numPr>
        <w:spacing w:after="80" w:line="276"/>
      </w:pPr>
      <w:r>
        <w:t xml:space="preserve">Αποθήκευση σε σχεσιακή βάση μέσω ORM, ώστε η μετάβαση σε άλλο σύστημα βάσης να αποτελεί αλλαγή παραμέτρου και όχι κώδικα.</w:t>
      </w:r>
    </w:p>
    <w:p>
      <w:pPr>
        <w:pStyle w:val="ListParagraph"/>
        <w:numPr>
          <w:ilvl w:val="0"/>
          <w:numId w:val="2"/>
        </w:numPr>
        <w:spacing w:after="80" w:line="276"/>
      </w:pPr>
      <w:r>
        <w:t xml:space="preserve">Το Flowise δεν χρησιμοποιήθηκε: στην πρόταση προβλεπόταν ως προαιρετικό στάδιο οπτικοποίησης και κρίθηκε ότι δεν προσέφερε στην υλοποίηση.</w:t>
      </w:r>
    </w:p>
    <w:p>
      <w:pPr>
        <w:pStyle w:val="Heading2"/>
        <w:spacing w:after="120" w:before="240"/>
      </w:pPr>
      <w:r>
        <w:rPr>
          <w:b/>
          <w:bCs/>
          <w:sz w:val="23"/>
          <w:szCs w:val="23"/>
        </w:rPr>
        <w:t xml:space="preserve">2.3 Διαχωρισμός ντετερμινιστικής λογικής και γλωσσικού μοντέλου</w:t>
      </w:r>
    </w:p>
    <w:p>
      <w:pPr>
        <w:spacing w:after="140" w:line="276"/>
      </w:pPr>
      <w:r>
        <w:t xml:space="preserve">Όπως προβλεπόταν στην πρόταση, οι διατροφικοί υπολογισμοί (βασικός μεταβολισμός κατά Mifflin-St Jeor, θερμιδικός στόχος, μακροθρεπτικά), οι κανόνες προσαρμογής και τα ασφαλή όρια είναι πλήρως ντετερμινιστικά στον κώδικα. Το γλωσσικό μοντέλο περιορίζεται αυστηρά στη διατύπωση κειμένων ανατροφοδότησης και εκπαιδευτικού περιεχομένου, μέσω απομονωμένου επιπέδου που επιτρέπει την εναλλαγή παρόχου χωρίς αλλαγές στη λογική.</w:t>
      </w:r>
    </w:p>
    <w:p>
      <w:pPr>
        <w:pStyle w:val="Heading2"/>
        <w:spacing w:after="120" w:before="240"/>
      </w:pPr>
      <w:r>
        <w:rPr>
          <w:b/>
          <w:bCs/>
          <w:sz w:val="23"/>
          <w:szCs w:val="23"/>
        </w:rPr>
        <w:t xml:space="preserve">2.4 Ασφαλή όρια και ιχνηλασιμότητα</w:t>
      </w:r>
    </w:p>
    <w:p>
      <w:pPr>
        <w:spacing w:after="140" w:line="276"/>
      </w:pPr>
      <w:r>
        <w:t xml:space="preserve">Ο Supervisor αποτελεί το μοναδικό υποχρεωτικό σημείο ελέγχου πριν οποιαδήποτε αποθήκευση ή απόκριση. Υλοποιήθηκαν τρεις έλεγχοι:</w:t>
      </w:r>
    </w:p>
    <w:p>
      <w:pPr>
        <w:pStyle w:val="ListParagraph"/>
        <w:numPr>
          <w:ilvl w:val="0"/>
          <w:numId w:val="2"/>
        </w:numPr>
        <w:spacing w:after="80" w:line="276"/>
      </w:pPr>
      <w:r>
        <w:t xml:space="preserve">Ελάχιστος ασφαλής θερμιδικός στόχος ανά φύλο.</w:t>
      </w:r>
    </w:p>
    <w:p>
      <w:pPr>
        <w:pStyle w:val="ListParagraph"/>
        <w:numPr>
          <w:ilvl w:val="0"/>
          <w:numId w:val="2"/>
        </w:numPr>
        <w:spacing w:after="80" w:line="276"/>
      </w:pPr>
      <w:r>
        <w:t xml:space="preserve">Μέγιστο επιτρεπτό έλλειμμα ως ποσοστό των ημερήσιων ενεργειακών αναγκών.</w:t>
      </w:r>
    </w:p>
    <w:p>
      <w:pPr>
        <w:pStyle w:val="ListParagraph"/>
        <w:numPr>
          <w:ilvl w:val="0"/>
          <w:numId w:val="2"/>
        </w:numPr>
        <w:spacing w:after="80" w:line="276"/>
      </w:pPr>
      <w:r>
        <w:t xml:space="preserve">Εντοπισμός ύποπτων μοτίβων: δείκτης μάζας σώματος κάτω του ορίου με στόχο απώλειας, και ρυθμός απώλειας βάρους πάνω από το ασφαλές όριο.</w:t>
      </w:r>
    </w:p>
    <w:p>
      <w:pPr>
        <w:spacing w:after="160" w:line="276"/>
      </w:pPr>
      <w:r>
        <w:t xml:space="preserve">Ο έλεγχος επιβάλλεται δομικά: η αποθήκευση πλάνου απαιτεί εγκεκριμένη απόφαση του Supervisor, οπότε δεν υπάρχει διαδρομή στον κώδικα που να την παρακάμπτει. Κάθε απόφαση καταγράφεται και αποθηκεύεται για ιχνηλασιμότητα.</w:t>
      </w:r>
    </w:p>
    <w:p>
      <w:pPr>
        <w:pStyle w:val="Heading2"/>
        <w:spacing w:after="120" w:before="240"/>
      </w:pPr>
      <w:r>
        <w:rPr>
          <w:b/>
          <w:bCs/>
          <w:sz w:val="23"/>
          <w:szCs w:val="23"/>
        </w:rPr>
        <w:t xml:space="preserve">2.5 Δοκιμές</w:t>
      </w:r>
    </w:p>
    <w:p>
      <w:pPr>
        <w:spacing w:after="140" w:line="276"/>
      </w:pPr>
      <w:r>
        <w:t xml:space="preserve">Υλοποιήθηκαν 51 αυτοματοποιημένοι έλεγχοι σε τέσσερα επίπεδα (μονάδας, ολοκλήρωσης, συστήματος και του πλαισίου αξιολόγησης), με έμφαση στη ντετερμινιστική λογική: υπολογισμοί θερμίδων, ασφαλή όρια και κανόνες προσαρμογής.</w:t>
      </w:r>
    </w:p>
    <w:p>
      <w:pPr>
        <w:pStyle w:val="Heading1"/>
        <w:spacing w:after="160" w:before="360"/>
      </w:pPr>
      <w:r>
        <w:rPr>
          <w:b/>
          <w:bCs/>
          <w:sz w:val="26"/>
          <w:szCs w:val="26"/>
        </w:rPr>
        <w:t xml:space="preserve">3. Πλαίσιο αξιολόγησης</w:t>
      </w:r>
    </w:p>
    <w:p>
      <w:pPr>
        <w:spacing w:after="140" w:line="276"/>
      </w:pPr>
      <w:r>
        <w:t xml:space="preserve">Αναπτύχθηκε πλαίσιο προσομοίωσης που συγκρίνει τρεις στρατηγικές στα ίδια συνθετικά σενάρια: την προσαρμοστική προσέγγιση, έναν μη προσαρμοστικό βοηθό (ανατροφοδότηση χωρίς αλλαγή πλάνου) και ένα σταθερό διατροφικό πλάνο.</w:t>
      </w:r>
    </w:p>
    <w:p>
      <w:pPr>
        <w:pStyle w:val="ListParagraph"/>
        <w:numPr>
          <w:ilvl w:val="0"/>
          <w:numId w:val="2"/>
        </w:numPr>
        <w:spacing w:after="80" w:line="276"/>
      </w:pPr>
      <w:r>
        <w:t xml:space="preserve">Έξι συνθετικά προφίλ χρηστών που καλύπτουν απώλεια βάρους, διατήρηση και αύξηση μυϊκής μάζας, καθώς και περιπτώσεις ελλιπούς καταγραφής και ελέγχου ασφάλειας.</w:t>
      </w:r>
    </w:p>
    <w:p>
      <w:pPr>
        <w:pStyle w:val="ListParagraph"/>
        <w:numPr>
          <w:ilvl w:val="0"/>
          <w:numId w:val="2"/>
        </w:numPr>
        <w:spacing w:after="80" w:line="276"/>
      </w:pPr>
      <w:r>
        <w:t xml:space="preserve">Ορίζοντας προσομοίωσης δώδεκα εβδομάδων, με ημερήσια ανάλυση.</w:t>
      </w:r>
    </w:p>
    <w:p>
      <w:pPr>
        <w:pStyle w:val="ListParagraph"/>
        <w:numPr>
          <w:ilvl w:val="0"/>
          <w:numId w:val="2"/>
        </w:numPr>
        <w:spacing w:after="80" w:line="276"/>
      </w:pPr>
      <w:r>
        <w:t xml:space="preserve">Κάθε προφίλ ορίζει μια ανοχή: τη μέγιστη μεταβολή ως προς τις ενεργειακές του ανάγκες που μπορεί να τηρήσει σταθερά. Όταν το πλάνο απαιτεί περισσότερα, η πρόσληψη επανέρχεται μερικώς προς το όριο ανοχής και γίνεται πιο ασταθής.</w:t>
      </w:r>
    </w:p>
    <w:p>
      <w:pPr>
        <w:pStyle w:val="ListParagraph"/>
        <w:numPr>
          <w:ilvl w:val="0"/>
          <w:numId w:val="2"/>
        </w:numPr>
        <w:spacing w:after="80" w:line="276"/>
      </w:pPr>
      <w:r>
        <w:t xml:space="preserve">Το βάρος ενημερώνεται από το ενεργειακό ισοζύγιο και οι ενεργειακές ανάγκες επανυπολογίζονται καθημερινά, οπότε το φαινόμενο πλατό προκύπτει από το ίδιο το μοντέλο.</w:t>
      </w:r>
    </w:p>
    <w:p>
      <w:pPr>
        <w:pStyle w:val="ListParagraph"/>
        <w:numPr>
          <w:ilvl w:val="0"/>
          <w:numId w:val="2"/>
        </w:numPr>
        <w:spacing w:after="80" w:line="276"/>
      </w:pPr>
      <w:r>
        <w:t xml:space="preserve">Χρησιμοποιούνται οι ίδιοι σπόροι τυχαιότητας και στις τρεις στρατηγικές ανά σενάριο, ώστε οι διαφορές να αποδίδονται στο σύστημα και όχι στην τύχη.</w:t>
      </w:r>
    </w:p>
    <w:p>
      <w:pPr>
        <w:pStyle w:val="Heading1"/>
        <w:spacing w:after="160" w:before="360"/>
      </w:pPr>
      <w:r>
        <w:rPr>
          <w:b/>
          <w:bCs/>
          <w:sz w:val="26"/>
          <w:szCs w:val="26"/>
        </w:rPr>
        <w:t xml:space="preserve">4. Αποτελέσματα</w:t>
      </w:r>
    </w:p>
    <w:p>
      <w:pPr>
        <w:spacing w:after="140" w:line="276"/>
      </w:pPr>
      <w:r>
        <w:t xml:space="preserve">Μέσοι όροι ανά στρατηγική, στα έξι σενάρια: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71"/>
        <w:gridCol w:w="1171"/>
        <w:gridCol w:w="1171"/>
        <w:gridCol w:w="1171"/>
        <w:gridCol w:w="1171"/>
        <w:gridCol w:w="1171"/>
      </w:tblGrid>
      <w:tr>
        <w:trPr>
          <w:tblHeader/>
        </w:trPr>
        <w:tc>
          <w:tcPr>
            <w:tcW w:type="dxa" w:w="2000"/>
            <w:shd w:fill="E8EEF4" w:color="auto" w:val="clear"/>
            <w:tcMar>
              <w:top w:type="dxa" w:w="70"/>
              <w:left w:type="dxa" w:w="90"/>
              <w:bottom w:type="dxa" w:w="70"/>
              <w:right w:type="dxa" w:w="90"/>
            </w:tcMar>
          </w:tcPr>
          <w:p>
            <w:pPr>
              <w:spacing w:after="0"/>
              <w:jc w:val="left"/>
            </w:pPr>
            <w:r>
              <w:rPr>
                <w:b/>
                <w:bCs/>
              </w:rPr>
              <w:t xml:space="preserve">Στρατηγική</w:t>
            </w:r>
          </w:p>
        </w:tc>
        <w:tc>
          <w:tcPr>
            <w:tcW w:type="dxa" w:w="1171"/>
            <w:shd w:fill="E8EEF4" w:color="auto" w:val="clear"/>
            <w:tcMar>
              <w:top w:type="dxa" w:w="70"/>
              <w:left w:type="dxa" w:w="90"/>
              <w:bottom w:type="dxa" w:w="70"/>
              <w:right w:type="dxa" w:w="90"/>
            </w:tcMar>
          </w:tcPr>
          <w:p>
            <w:pPr>
              <w:spacing w:after="0"/>
              <w:jc w:val="center"/>
            </w:pPr>
            <w:r>
              <w:rPr>
                <w:b/>
                <w:bCs/>
              </w:rPr>
              <w:t xml:space="preserve">Τήρηση</w:t>
            </w:r>
          </w:p>
        </w:tc>
        <w:tc>
          <w:tcPr>
            <w:tcW w:type="dxa" w:w="1171"/>
            <w:shd w:fill="E8EEF4" w:color="auto" w:val="clear"/>
            <w:tcMar>
              <w:top w:type="dxa" w:w="70"/>
              <w:left w:type="dxa" w:w="90"/>
              <w:bottom w:type="dxa" w:w="70"/>
              <w:right w:type="dxa" w:w="90"/>
            </w:tcMar>
          </w:tcPr>
          <w:p>
            <w:pPr>
              <w:spacing w:after="0"/>
              <w:jc w:val="center"/>
            </w:pPr>
            <w:r>
              <w:rPr>
                <w:b/>
                <w:bCs/>
              </w:rPr>
              <w:t xml:space="preserve">Συνέπεια</w:t>
            </w:r>
          </w:p>
        </w:tc>
        <w:tc>
          <w:tcPr>
            <w:tcW w:type="dxa" w:w="1171"/>
            <w:shd w:fill="E8EEF4" w:color="auto" w:val="clear"/>
            <w:tcMar>
              <w:top w:type="dxa" w:w="70"/>
              <w:left w:type="dxa" w:w="90"/>
              <w:bottom w:type="dxa" w:w="70"/>
              <w:right w:type="dxa" w:w="90"/>
            </w:tcMar>
          </w:tcPr>
          <w:p>
            <w:pPr>
              <w:spacing w:after="0"/>
              <w:jc w:val="center"/>
            </w:pPr>
            <w:r>
              <w:rPr>
                <w:b/>
                <w:bCs/>
              </w:rPr>
              <w:t xml:space="preserve">Καταλλη-λότητα</w:t>
            </w:r>
          </w:p>
        </w:tc>
        <w:tc>
          <w:tcPr>
            <w:tcW w:type="dxa" w:w="1171"/>
            <w:shd w:fill="E8EEF4" w:color="auto" w:val="clear"/>
            <w:tcMar>
              <w:top w:type="dxa" w:w="70"/>
              <w:left w:type="dxa" w:w="90"/>
              <w:bottom w:type="dxa" w:w="70"/>
              <w:right w:type="dxa" w:w="90"/>
            </w:tcMar>
          </w:tcPr>
          <w:p>
            <w:pPr>
              <w:spacing w:after="0"/>
              <w:jc w:val="center"/>
            </w:pPr>
            <w:r>
              <w:rPr>
                <w:b/>
                <w:bCs/>
              </w:rPr>
              <w:t xml:space="preserve">Πρόοδος</w:t>
            </w:r>
          </w:p>
        </w:tc>
        <w:tc>
          <w:tcPr>
            <w:tcW w:type="dxa" w:w="1171"/>
            <w:shd w:fill="E8EEF4" w:color="auto" w:val="clear"/>
            <w:tcMar>
              <w:top w:type="dxa" w:w="70"/>
              <w:left w:type="dxa" w:w="90"/>
              <w:bottom w:type="dxa" w:w="70"/>
              <w:right w:type="dxa" w:w="90"/>
            </w:tcMar>
          </w:tcPr>
          <w:p>
            <w:pPr>
              <w:spacing w:after="0"/>
              <w:jc w:val="center"/>
            </w:pPr>
            <w:r>
              <w:rPr>
                <w:b/>
                <w:bCs/>
              </w:rPr>
              <w:t xml:space="preserve">Παραπομπές</w:t>
            </w:r>
          </w:p>
        </w:tc>
        <w:tc>
          <w:tcPr>
            <w:tcW w:type="dxa" w:w="1171"/>
            <w:shd w:fill="E8EEF4" w:color="auto" w:val="clear"/>
            <w:tcMar>
              <w:top w:type="dxa" w:w="70"/>
              <w:left w:type="dxa" w:w="90"/>
              <w:bottom w:type="dxa" w:w="70"/>
              <w:right w:type="dxa" w:w="90"/>
            </w:tcMar>
          </w:tcPr>
          <w:p>
            <w:pPr>
              <w:spacing w:after="0"/>
              <w:jc w:val="center"/>
            </w:pPr>
            <w:r>
              <w:rPr>
                <w:b/>
                <w:bCs/>
              </w:rPr>
              <w:t xml:space="preserve">Συνολικά</w:t>
            </w:r>
          </w:p>
        </w:tc>
      </w:tr>
      <w:tr>
        <w:tc>
          <w:tcPr>
            <w:tcW w:type="dxa" w:w="2000"/>
            <w:shd w:fill="F6F8FA" w:color="auto" w:val="clear"/>
            <w:tcMar>
              <w:top w:type="dxa" w:w="70"/>
              <w:left w:type="dxa" w:w="90"/>
              <w:bottom w:type="dxa" w:w="70"/>
              <w:right w:type="dxa" w:w="90"/>
            </w:tcMar>
          </w:tcPr>
          <w:p>
            <w:pPr>
              <w:spacing w:after="0"/>
              <w:jc w:val="left"/>
            </w:pPr>
            <w:r>
              <w:rPr>
                <w:b/>
                <w:bCs/>
              </w:rPr>
              <w:t xml:space="preserve">Προσαρμοστική</w:t>
            </w:r>
          </w:p>
        </w:tc>
        <w:tc>
          <w:tcPr>
            <w:tcW w:type="dxa" w:w="1171"/>
            <w:shd w:fill="F6F8FA" w:color="auto" w:val="clear"/>
            <w:tcMar>
              <w:top w:type="dxa" w:w="70"/>
              <w:left w:type="dxa" w:w="90"/>
              <w:bottom w:type="dxa" w:w="70"/>
              <w:right w:type="dxa" w:w="90"/>
            </w:tcMar>
          </w:tcPr>
          <w:p>
            <w:pPr>
              <w:spacing w:after="0"/>
              <w:jc w:val="center"/>
            </w:pPr>
            <w:r>
              <w:rPr>
                <w:b/>
                <w:bCs/>
              </w:rPr>
              <w:t xml:space="preserve">0,94</w:t>
            </w:r>
          </w:p>
        </w:tc>
        <w:tc>
          <w:tcPr>
            <w:tcW w:type="dxa" w:w="1171"/>
            <w:shd w:fill="F6F8FA" w:color="auto" w:val="clear"/>
            <w:tcMar>
              <w:top w:type="dxa" w:w="70"/>
              <w:left w:type="dxa" w:w="90"/>
              <w:bottom w:type="dxa" w:w="70"/>
              <w:right w:type="dxa" w:w="90"/>
            </w:tcMar>
          </w:tcPr>
          <w:p>
            <w:pPr>
              <w:spacing w:after="0"/>
              <w:jc w:val="center"/>
            </w:pPr>
            <w:r>
              <w:rPr>
                <w:b/>
                <w:bCs/>
              </w:rPr>
              <w:t xml:space="preserve">0,89</w:t>
            </w:r>
          </w:p>
        </w:tc>
        <w:tc>
          <w:tcPr>
            <w:tcW w:type="dxa" w:w="1171"/>
            <w:shd w:fill="F6F8FA" w:color="auto" w:val="clear"/>
            <w:tcMar>
              <w:top w:type="dxa" w:w="70"/>
              <w:left w:type="dxa" w:w="90"/>
              <w:bottom w:type="dxa" w:w="70"/>
              <w:right w:type="dxa" w:w="90"/>
            </w:tcMar>
          </w:tcPr>
          <w:p>
            <w:pPr>
              <w:spacing w:after="0"/>
              <w:jc w:val="center"/>
            </w:pPr>
            <w:r>
              <w:rPr>
                <w:b/>
                <w:bCs/>
              </w:rPr>
              <w:t xml:space="preserve">0,74</w:t>
            </w:r>
          </w:p>
        </w:tc>
        <w:tc>
          <w:tcPr>
            <w:tcW w:type="dxa" w:w="1171"/>
            <w:shd w:fill="F6F8FA" w:color="auto" w:val="clear"/>
            <w:tcMar>
              <w:top w:type="dxa" w:w="70"/>
              <w:left w:type="dxa" w:w="90"/>
              <w:bottom w:type="dxa" w:w="70"/>
              <w:right w:type="dxa" w:w="90"/>
            </w:tcMar>
          </w:tcPr>
          <w:p>
            <w:pPr>
              <w:spacing w:after="0"/>
              <w:jc w:val="center"/>
            </w:pPr>
            <w:r>
              <w:rPr>
                <w:b/>
                <w:bCs/>
              </w:rPr>
              <w:t xml:space="preserve">0,68</w:t>
            </w:r>
          </w:p>
        </w:tc>
        <w:tc>
          <w:tcPr>
            <w:tcW w:type="dxa" w:w="1171"/>
            <w:shd w:fill="F6F8FA" w:color="auto" w:val="clear"/>
            <w:tcMar>
              <w:top w:type="dxa" w:w="70"/>
              <w:left w:type="dxa" w:w="90"/>
              <w:bottom w:type="dxa" w:w="70"/>
              <w:right w:type="dxa" w:w="90"/>
            </w:tcMar>
          </w:tcPr>
          <w:p>
            <w:pPr>
              <w:spacing w:after="0"/>
              <w:jc w:val="center"/>
            </w:pPr>
            <w:r>
              <w:rPr>
                <w:b/>
                <w:bCs/>
              </w:rPr>
              <w:t xml:space="preserve">1</w:t>
            </w:r>
          </w:p>
        </w:tc>
        <w:tc>
          <w:tcPr>
            <w:tcW w:type="dxa" w:w="1171"/>
            <w:shd w:fill="F6F8FA" w:color="auto" w:val="clear"/>
            <w:tcMar>
              <w:top w:type="dxa" w:w="70"/>
              <w:left w:type="dxa" w:w="90"/>
              <w:bottom w:type="dxa" w:w="70"/>
              <w:right w:type="dxa" w:w="90"/>
            </w:tcMar>
          </w:tcPr>
          <w:p>
            <w:pPr>
              <w:spacing w:after="0"/>
              <w:jc w:val="center"/>
            </w:pPr>
            <w:r>
              <w:rPr>
                <w:b/>
                <w:bCs/>
              </w:rPr>
              <w:t xml:space="preserve">0,79</w:t>
            </w:r>
          </w:p>
        </w:tc>
      </w:tr>
      <w:tr>
        <w:tc>
          <w:tcPr>
            <w:tcW w:type="dxa" w:w="2000"/>
            <w:tcMar>
              <w:top w:type="dxa" w:w="70"/>
              <w:left w:type="dxa" w:w="90"/>
              <w:bottom w:type="dxa" w:w="70"/>
              <w:right w:type="dxa" w:w="90"/>
            </w:tcMar>
          </w:tcPr>
          <w:p>
            <w:pPr>
              <w:spacing w:after="0"/>
              <w:jc w:val="left"/>
            </w:pPr>
            <w:r>
              <w:rPr>
                <w:b w:val="false"/>
                <w:bCs w:val="false"/>
              </w:rPr>
              <w:t xml:space="preserve">Μη προσαρμοστικός βοηθός</w:t>
            </w:r>
          </w:p>
        </w:tc>
        <w:tc>
          <w:tcPr>
            <w:tcW w:type="dxa" w:w="1171"/>
            <w:tcMar>
              <w:top w:type="dxa" w:w="70"/>
              <w:left w:type="dxa" w:w="90"/>
              <w:bottom w:type="dxa" w:w="70"/>
              <w:right w:type="dxa" w:w="90"/>
            </w:tcMar>
          </w:tcPr>
          <w:p>
            <w:pPr>
              <w:spacing w:after="0"/>
              <w:jc w:val="center"/>
            </w:pPr>
            <w:r>
              <w:rPr>
                <w:b w:val="false"/>
                <w:bCs w:val="false"/>
              </w:rPr>
              <w:t xml:space="preserve">0,92</w:t>
            </w:r>
          </w:p>
        </w:tc>
        <w:tc>
          <w:tcPr>
            <w:tcW w:type="dxa" w:w="1171"/>
            <w:tcMar>
              <w:top w:type="dxa" w:w="70"/>
              <w:left w:type="dxa" w:w="90"/>
              <w:bottom w:type="dxa" w:w="70"/>
              <w:right w:type="dxa" w:w="90"/>
            </w:tcMar>
          </w:tcPr>
          <w:p>
            <w:pPr>
              <w:spacing w:after="0"/>
              <w:jc w:val="center"/>
            </w:pPr>
            <w:r>
              <w:rPr>
                <w:b w:val="false"/>
                <w:bCs w:val="false"/>
              </w:rPr>
              <w:t xml:space="preserve">0,87</w:t>
            </w:r>
          </w:p>
        </w:tc>
        <w:tc>
          <w:tcPr>
            <w:tcW w:type="dxa" w:w="1171"/>
            <w:tcMar>
              <w:top w:type="dxa" w:w="70"/>
              <w:left w:type="dxa" w:w="90"/>
              <w:bottom w:type="dxa" w:w="70"/>
              <w:right w:type="dxa" w:w="90"/>
            </w:tcMar>
          </w:tcPr>
          <w:p>
            <w:pPr>
              <w:spacing w:after="0"/>
              <w:jc w:val="center"/>
            </w:pPr>
            <w:r>
              <w:rPr>
                <w:b w:val="false"/>
                <w:bCs w:val="false"/>
              </w:rPr>
              <w:t xml:space="preserve">0,50</w:t>
            </w:r>
          </w:p>
        </w:tc>
        <w:tc>
          <w:tcPr>
            <w:tcW w:type="dxa" w:w="1171"/>
            <w:tcMar>
              <w:top w:type="dxa" w:w="70"/>
              <w:left w:type="dxa" w:w="90"/>
              <w:bottom w:type="dxa" w:w="70"/>
              <w:right w:type="dxa" w:w="90"/>
            </w:tcMar>
          </w:tcPr>
          <w:p>
            <w:pPr>
              <w:spacing w:after="0"/>
              <w:jc w:val="center"/>
            </w:pPr>
            <w:r>
              <w:rPr>
                <w:b w:val="false"/>
                <w:bCs w:val="false"/>
              </w:rPr>
              <w:t xml:space="preserve">0,74</w:t>
            </w:r>
          </w:p>
        </w:tc>
        <w:tc>
          <w:tcPr>
            <w:tcW w:type="dxa" w:w="1171"/>
            <w:tcMar>
              <w:top w:type="dxa" w:w="70"/>
              <w:left w:type="dxa" w:w="90"/>
              <w:bottom w:type="dxa" w:w="70"/>
              <w:right w:type="dxa" w:w="90"/>
            </w:tcMar>
          </w:tcPr>
          <w:p>
            <w:pPr>
              <w:spacing w:after="0"/>
              <w:jc w:val="center"/>
            </w:pPr>
            <w:r>
              <w:rPr>
                <w:b w:val="false"/>
                <w:bCs w:val="false"/>
              </w:rPr>
              <w:t xml:space="preserve">0</w:t>
            </w:r>
          </w:p>
        </w:tc>
        <w:tc>
          <w:tcPr>
            <w:tcW w:type="dxa" w:w="1171"/>
            <w:tcMar>
              <w:top w:type="dxa" w:w="70"/>
              <w:left w:type="dxa" w:w="90"/>
              <w:bottom w:type="dxa" w:w="70"/>
              <w:right w:type="dxa" w:w="90"/>
            </w:tcMar>
          </w:tcPr>
          <w:p>
            <w:pPr>
              <w:spacing w:after="0"/>
              <w:jc w:val="center"/>
            </w:pPr>
            <w:r>
              <w:rPr>
                <w:b w:val="false"/>
                <w:bCs w:val="false"/>
              </w:rPr>
              <w:t xml:space="preserve">0,76</w:t>
            </w:r>
          </w:p>
        </w:tc>
      </w:tr>
      <w:tr>
        <w:tc>
          <w:tcPr>
            <w:tcW w:type="dxa" w:w="2000"/>
            <w:tcMar>
              <w:top w:type="dxa" w:w="70"/>
              <w:left w:type="dxa" w:w="90"/>
              <w:bottom w:type="dxa" w:w="70"/>
              <w:right w:type="dxa" w:w="90"/>
            </w:tcMar>
          </w:tcPr>
          <w:p>
            <w:pPr>
              <w:spacing w:after="0"/>
              <w:jc w:val="left"/>
            </w:pPr>
            <w:r>
              <w:rPr>
                <w:b w:val="false"/>
                <w:bCs w:val="false"/>
              </w:rPr>
              <w:t xml:space="preserve">Σταθερό πλάνο</w:t>
            </w:r>
          </w:p>
        </w:tc>
        <w:tc>
          <w:tcPr>
            <w:tcW w:type="dxa" w:w="1171"/>
            <w:tcMar>
              <w:top w:type="dxa" w:w="70"/>
              <w:left w:type="dxa" w:w="90"/>
              <w:bottom w:type="dxa" w:w="70"/>
              <w:right w:type="dxa" w:w="90"/>
            </w:tcMar>
          </w:tcPr>
          <w:p>
            <w:pPr>
              <w:spacing w:after="0"/>
              <w:jc w:val="center"/>
            </w:pPr>
            <w:r>
              <w:rPr>
                <w:b w:val="false"/>
                <w:bCs w:val="false"/>
              </w:rPr>
              <w:t xml:space="preserve">0,92</w:t>
            </w:r>
          </w:p>
        </w:tc>
        <w:tc>
          <w:tcPr>
            <w:tcW w:type="dxa" w:w="1171"/>
            <w:tcMar>
              <w:top w:type="dxa" w:w="70"/>
              <w:left w:type="dxa" w:w="90"/>
              <w:bottom w:type="dxa" w:w="70"/>
              <w:right w:type="dxa" w:w="90"/>
            </w:tcMar>
          </w:tcPr>
          <w:p>
            <w:pPr>
              <w:spacing w:after="0"/>
              <w:jc w:val="center"/>
            </w:pPr>
            <w:r>
              <w:rPr>
                <w:b w:val="false"/>
                <w:bCs w:val="false"/>
              </w:rPr>
              <w:t xml:space="preserve">0,87</w:t>
            </w:r>
          </w:p>
        </w:tc>
        <w:tc>
          <w:tcPr>
            <w:tcW w:type="dxa" w:w="1171"/>
            <w:tcMar>
              <w:top w:type="dxa" w:w="70"/>
              <w:left w:type="dxa" w:w="90"/>
              <w:bottom w:type="dxa" w:w="70"/>
              <w:right w:type="dxa" w:w="90"/>
            </w:tcMar>
          </w:tcPr>
          <w:p>
            <w:pPr>
              <w:spacing w:after="0"/>
              <w:jc w:val="center"/>
            </w:pPr>
            <w:r>
              <w:rPr>
                <w:b w:val="false"/>
                <w:bCs w:val="false"/>
              </w:rPr>
              <w:t xml:space="preserve">0,50</w:t>
            </w:r>
          </w:p>
        </w:tc>
        <w:tc>
          <w:tcPr>
            <w:tcW w:type="dxa" w:w="1171"/>
            <w:tcMar>
              <w:top w:type="dxa" w:w="70"/>
              <w:left w:type="dxa" w:w="90"/>
              <w:bottom w:type="dxa" w:w="70"/>
              <w:right w:type="dxa" w:w="90"/>
            </w:tcMar>
          </w:tcPr>
          <w:p>
            <w:pPr>
              <w:spacing w:after="0"/>
              <w:jc w:val="center"/>
            </w:pPr>
            <w:r>
              <w:rPr>
                <w:b w:val="false"/>
                <w:bCs w:val="false"/>
              </w:rPr>
              <w:t xml:space="preserve">0,73</w:t>
            </w:r>
          </w:p>
        </w:tc>
        <w:tc>
          <w:tcPr>
            <w:tcW w:type="dxa" w:w="1171"/>
            <w:tcMar>
              <w:top w:type="dxa" w:w="70"/>
              <w:left w:type="dxa" w:w="90"/>
              <w:bottom w:type="dxa" w:w="70"/>
              <w:right w:type="dxa" w:w="90"/>
            </w:tcMar>
          </w:tcPr>
          <w:p>
            <w:pPr>
              <w:spacing w:after="0"/>
              <w:jc w:val="center"/>
            </w:pPr>
            <w:r>
              <w:rPr>
                <w:b w:val="false"/>
                <w:bCs w:val="false"/>
              </w:rPr>
              <w:t xml:space="preserve">0</w:t>
            </w:r>
          </w:p>
        </w:tc>
        <w:tc>
          <w:tcPr>
            <w:tcW w:type="dxa" w:w="1171"/>
            <w:tcMar>
              <w:top w:type="dxa" w:w="70"/>
              <w:left w:type="dxa" w:w="90"/>
              <w:bottom w:type="dxa" w:w="70"/>
              <w:right w:type="dxa" w:w="90"/>
            </w:tcMar>
          </w:tcPr>
          <w:p>
            <w:pPr>
              <w:spacing w:after="0"/>
              <w:jc w:val="center"/>
            </w:pPr>
            <w:r>
              <w:rPr>
                <w:b w:val="false"/>
                <w:bCs w:val="false"/>
              </w:rPr>
              <w:t xml:space="preserve">0,75</w:t>
            </w:r>
          </w:p>
        </w:tc>
      </w:tr>
    </w:tbl>
    <w:p>
      <w:pPr>
        <w:spacing w:after="120" w:line="276"/>
      </w:pPr>
      <w:r>
        <w:t xml:space="preserve"/>
      </w:r>
    </w:p>
    <w:p>
      <w:pPr>
        <w:spacing w:after="140" w:line="276"/>
      </w:pPr>
      <w:r>
        <w:t xml:space="preserve">Το βασικό εύρημα είναι ένας συμβιβασμός: η προσαρμοστική προσέγγιση βελτιώνει σημαντικά την καταλληλότητα του πλάνου και την τήρησή του, με κόστος κάποια επιβράδυνση της προόδου προς τον στόχο. Αυτό οφείλεται στο ότι συγκλίνει προς στόχους τους οποίους ο χρήστης μπορεί πραγματικά να τηρήσει, αντί να επιμένει σε ένα πλάνο που στην πράξη αγνοείται.</w:t>
      </w:r>
    </w:p>
    <w:p>
      <w:pPr>
        <w:spacing w:after="160" w:line="276"/>
      </w:pPr>
      <w:r>
        <w:t xml:space="preserve">Στα σενάρια όπου το αρχικό πλάνο ήταν εξαρχής κατάλληλο, οι τρεις στρατηγικές ταυτίζονται, όπως αναμένεται. Στο σενάριο ελέγχου ασφάλειας, μόνο η προσαρμοστική προσέγγιση εντόπισε την ανάγκη παραπομπής σε ειδικό.</w:t>
      </w:r>
    </w:p>
    <w:p>
      <w:pPr>
        <w:spacing w:after="140" w:line="276"/>
      </w:pPr>
      <w:r>
        <w:rPr>
          <w:i/>
          <w:iCs/>
        </w:rPr>
        <w:t xml:space="preserve">Σημειώνεται ότι η προσομοίωση δεν μπορεί να αποτιμήσει τη χρηστικότητα ούτε την ποιότητα του παραγόμενου περιεχομένου. Τα μεγέθη αυτά καλύπτονται από την επικύρωση από ειδικό (ενότητα 5).</w:t>
      </w:r>
    </w:p>
    <w:p>
      <w:pPr>
        <w:pStyle w:val="Heading1"/>
        <w:spacing w:after="160" w:before="360"/>
      </w:pPr>
      <w:r>
        <w:rPr>
          <w:b/>
          <w:bCs/>
          <w:sz w:val="26"/>
          <w:szCs w:val="26"/>
        </w:rPr>
        <w:t xml:space="preserve">5. Επικύρωση από ειδικό</w:t>
      </w:r>
    </w:p>
    <w:p>
      <w:pPr>
        <w:spacing w:after="140" w:line="276"/>
      </w:pPr>
      <w:r>
        <w:t xml:space="preserve">Ετοιμάστηκε φύλλο επικύρωσης δεκαέξι κλινικών παραδοχών του συστήματος (τύπος υπολογισμού ενεργειακών αναγκών, προσαρμογές ανά τύπο στόχου, μακροθρεπτικά, κατανομή γευμάτων, ασφαλή όρια, κριτήρια παραπομπής και πολιτική αναπροσαρμογής), το οποίο θα συμπληρωθεί από πτυχιούχο διατροφολόγο και θα περιληφθεί ως παράρτημα στην εργασία. Το φύλλο περιλαμβάνει και ανοιχτή ερώτηση για καταστάσεις ή αντενδείξεις που το σύστημα θα έπρεπε να ελέγχει και δεν καλύπτει.</w:t>
      </w:r>
    </w:p>
    <w:p>
      <w:pPr>
        <w:spacing w:after="140" w:line="276"/>
      </w:pPr>
      <w:r>
        <w:t xml:space="preserve">Σε δεύτερη φάση προβλέπεται τυφλή αξιολόγηση δείγματος προτάσεων του συστήματος, με αναμεμειγμένες και μη επισημασμένες περιπτώσεις από την προσαρμοστική και τη σταθερή στρατηγική, ώστε η σύγκριση να μην επηρεάζεται από τη γνώση της προέλευσης. Η φάση αυτή προϋποθέτει την ενσωμάτωση του γλωσσικού μοντέλου.</w:t>
      </w:r>
    </w:p>
    <w:p>
      <w:pPr>
        <w:pStyle w:val="Heading1"/>
        <w:spacing w:after="160" w:before="360"/>
      </w:pPr>
      <w:r>
        <w:rPr>
          <w:b/>
          <w:bCs/>
          <w:sz w:val="26"/>
          <w:szCs w:val="26"/>
        </w:rPr>
        <w:t xml:space="preserve">6. Εκκρεμότητες και ερωτήματα</w:t>
      </w:r>
    </w:p>
    <w:p>
      <w:pPr>
        <w:spacing w:after="140" w:line="276"/>
      </w:pPr>
      <w:r>
        <w:t xml:space="preserve">Απομένουν τα εξής:</w:t>
      </w:r>
    </w:p>
    <w:p>
      <w:pPr>
        <w:pStyle w:val="ListParagraph"/>
        <w:numPr>
          <w:ilvl w:val="0"/>
          <w:numId w:val="2"/>
        </w:numPr>
        <w:spacing w:after="80" w:line="276"/>
      </w:pPr>
      <w:r>
        <w:t xml:space="preserve">Ενσωμάτωση του γλωσσικού μοντέλου για τα κείμενα ανατροφοδότησης και περιεχομένου.</w:t>
      </w:r>
    </w:p>
    <w:p>
      <w:pPr>
        <w:pStyle w:val="ListParagraph"/>
        <w:numPr>
          <w:ilvl w:val="0"/>
          <w:numId w:val="2"/>
        </w:numPr>
        <w:spacing w:after="80" w:line="276"/>
      </w:pPr>
      <w:r>
        <w:t xml:space="preserve">Endpoints για τον ρόλο του εξουσιοδοτημένου χρήστη (επισκόπηση προόδου χρηστών, διαχείριση περιεχομένου).</w:t>
      </w:r>
    </w:p>
    <w:p>
      <w:pPr>
        <w:pStyle w:val="ListParagraph"/>
        <w:numPr>
          <w:ilvl w:val="0"/>
          <w:numId w:val="2"/>
        </w:numPr>
        <w:spacing w:after="80" w:line="276"/>
      </w:pPr>
      <w:r>
        <w:t xml:space="preserve">Διεξαγωγή της τυφλής αξιολόγησης δείγματος προτάσεων.</w:t>
      </w:r>
    </w:p>
    <w:p>
      <w:pPr>
        <w:pStyle w:val="ListParagraph"/>
        <w:numPr>
          <w:ilvl w:val="0"/>
          <w:numId w:val="2"/>
        </w:numPr>
        <w:spacing w:after="80" w:line="276"/>
      </w:pPr>
      <w:r>
        <w:t xml:space="preserve">Συγγραφή του κειμένου της εργασίας.</w:t>
      </w:r>
    </w:p>
    <w:p>
      <w:pPr>
        <w:spacing w:after="140" w:line="276"/>
      </w:pPr>
      <w:r>
        <w:t xml:space="preserve">Ζητείται η καθοδήγησή σας στα ακόλουθα:</w:t>
      </w:r>
    </w:p>
    <w:p>
      <w:pPr>
        <w:pStyle w:val="ListParagraph"/>
        <w:numPr>
          <w:ilvl w:val="0"/>
          <w:numId w:val="3"/>
        </w:numPr>
        <w:spacing w:after="120" w:line="276"/>
      </w:pPr>
      <w:r>
        <w:t xml:space="preserve">Υπάρχει διαθέσιμος λογαριασμός ή κλειδί πρόσβασης από το τμήμα για τη χρήση γλωσσικού μοντέλου, ή να χρησιμοποιηθεί προσωπικός λογαριασμός με ίδιο κόστος;</w:t>
      </w:r>
    </w:p>
    <w:p>
      <w:pPr>
        <w:pStyle w:val="ListParagraph"/>
        <w:numPr>
          <w:ilvl w:val="0"/>
          <w:numId w:val="3"/>
        </w:numPr>
        <w:spacing w:after="120" w:line="276"/>
      </w:pPr>
      <w:r>
        <w:t xml:space="preserve">Υπάρχει προτίμηση ή περιορισμός ως προς τον πάροχο, ή προτιμάται τοπικά εκτελούμενο μοντέλο ώστε να μη διακινούνται δεδομένα σε εξωτερική υπηρεσία;</w:t>
      </w:r>
    </w:p>
    <w:p>
      <w:pPr>
        <w:spacing w:after="0" w:line="276"/>
      </w:pPr>
      <w:r>
        <w:t xml:space="preserve">Επισημαίνεται ότι το σύστημα λειτουργεί ήδη πλήρως χωρίς το γλωσσικό μοντέλο, με προσωρινό υποκατάστατο, οπότε το χρονοδιάγραμμα δεν επηρεάζεται· η απόφαση απαιτείται για να προχωρήσει η αξιολόγηση των παραγόμενων κειμένων.</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2026-09-20T15:19:11.206Z</dcterms:created>
  <dcterms:modified xsi:type="dcterms:W3CDTF">2026-09-20T15:19:11.209Z</dcterms:modified>
</cp:coreProperties>
</file>

<file path=docProps/custom.xml><?xml version="1.0" encoding="utf-8"?>
<Properties xmlns="http://schemas.openxmlformats.org/officeDocument/2006/custom-properties" xmlns:vt="http://schemas.openxmlformats.org/officeDocument/2006/docPropsVTypes"/>
</file>