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B5573A"/>
          <w:spacing w:val="40"/>
          <w:sz w:val="20"/>
          <w:szCs w:val="20"/>
        </w:rPr>
        <w:t xml:space="preserve">PORTFOLIO STRATEGY</w:t>
      </w:r>
    </w:p>
    <w:p>
      <w:pPr>
        <w:spacing w:after="60"/>
      </w:pPr>
      <w:r>
        <w:rPr>
          <w:b/>
          <w:bCs/>
          <w:color w:val="1A1A1A"/>
          <w:sz w:val="56"/>
          <w:szCs w:val="56"/>
        </w:rPr>
        <w:t xml:space="preserve">Ideal Customer Profile</w:t>
      </w:r>
    </w:p>
    <w:p>
      <w:pPr>
        <w:spacing w:after="240"/>
      </w:pPr>
      <w:r>
        <w:rPr>
          <w:i/>
          <w:iCs/>
          <w:color w:val="6B6B6B"/>
          <w:sz w:val="26"/>
          <w:szCs w:val="26"/>
        </w:rPr>
        <w:t xml:space="preserve">Who this site is built to win — and who it carries along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spacing w:after="40" w:line="276"/>
      </w:pPr>
      <w:r>
        <w:rPr>
          <w:b/>
          <w:bCs/>
          <w:color w:val="6B6B6B"/>
          <w:sz w:val="20"/>
          <w:szCs w:val="20"/>
        </w:rPr>
        <w:t xml:space="preserve">For:  </w:t>
      </w:r>
      <w:r>
        <w:rPr>
          <w:sz w:val="20"/>
          <w:szCs w:val="20"/>
        </w:rPr>
        <w:t xml:space="preserve">Micah Hoang</w:t>
      </w:r>
    </w:p>
    <w:p>
      <w:pPr>
        <w:spacing w:after="40" w:line="276"/>
      </w:pPr>
      <w:r>
        <w:rPr>
          <w:b/>
          <w:bCs/>
          <w:color w:val="6B6B6B"/>
          <w:sz w:val="20"/>
          <w:szCs w:val="20"/>
        </w:rPr>
        <w:t xml:space="preserve">Use:  </w:t>
      </w:r>
      <w:r>
        <w:rPr>
          <w:sz w:val="20"/>
          <w:szCs w:val="20"/>
        </w:rPr>
        <w:t xml:space="preserve">Reference for every build, curation, and copy decision. When a choice feels unclear, return here and ask: does this serve the primary ICP?</w:t>
      </w:r>
    </w:p>
    <w:p>
      <w:pPr>
        <w:spacing w:after="240" w:line="276"/>
      </w:pPr>
      <w:r>
        <w:rPr>
          <w:b/>
          <w:bCs/>
          <w:color w:val="6B6B6B"/>
          <w:sz w:val="20"/>
          <w:szCs w:val="20"/>
        </w:rPr>
        <w:t xml:space="preserve">Companion to:  </w:t>
      </w:r>
      <w:r>
        <w:rPr>
          <w:sz w:val="20"/>
          <w:szCs w:val="20"/>
        </w:rPr>
        <w:t xml:space="preserve">portfolio-framework.md (v0.5) and portfolio-copy-v2.md (v1.1)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pStyle w:val="Heading1"/>
      </w:pPr>
      <w:r>
        <w:t xml:space="preserve">00 — How to read this</w:t>
      </w:r>
    </w:p>
    <w:p>
      <w:pPr>
        <w:spacing w:after="160" w:line="276"/>
      </w:pPr>
      <w:r>
        <w:t xml:space="preserve">This is not a list of everyone who might see the site. It's a single primary persona, built in detail, plus two secondary profiles the same site should satisfy without extra work. The premise — confirmed in your framework and reinforced by every answer you gave — is that </w:t>
      </w:r>
      <w:r>
        <w:rPr>
          <w:b/>
          <w:bCs/>
        </w:rPr>
        <w:t xml:space="preserve">work built to win the hardest audience clears the bar for the easier ones</w:t>
      </w:r>
      <w:r>
        <w:t xml:space="preserve">. The reverse is never true. So we optimize for the hardest reader and let the rest benefit.</w:t>
      </w:r>
    </w:p>
    <w:p>
      <w:pPr>
        <w:pBdr>
          <w:top w:val="nil"/>
          <w:left w:val="single" w:color="B5573A" w:sz="18" w:space="14"/>
          <w:bottom w:val="nil"/>
          <w:right w:val="nil"/>
        </w:pBdr>
        <w:spacing w:after="220" w:before="120" w:line="300"/>
        <w:ind w:left="260"/>
      </w:pPr>
      <w:r>
        <w:rPr>
          <w:i/>
          <w:iCs/>
          <w:color w:val="1A1A1A"/>
          <w:sz w:val="26"/>
          <w:szCs w:val="26"/>
        </w:rPr>
        <w:t xml:space="preserve">The portfolio has one reader. Everyone else is a beneficiary of designing for that reader well.</w:t>
      </w:r>
    </w:p>
    <w:p>
      <w:pPr>
        <w:pStyle w:val="Heading1"/>
      </w:pPr>
      <w:r>
        <w:t xml:space="preserve">01 — The primary ICP</w:t>
      </w:r>
    </w:p>
    <w:p>
      <w:pPr>
        <w:spacing w:after="60" w:before="40"/>
      </w:pPr>
      <w:r>
        <w:rPr>
          <w:b/>
          <w:bCs/>
          <w:color w:val="B5573A"/>
          <w:spacing w:val="30"/>
          <w:sz w:val="18"/>
          <w:szCs w:val="18"/>
        </w:rPr>
        <w:t xml:space="preserve">PERSONA</w:t>
      </w:r>
    </w:p>
    <w:p>
      <w:pPr>
        <w:spacing w:after="200" w:line="276"/>
      </w:pPr>
      <w:r>
        <w:rPr>
          <w:b/>
          <w:bCs/>
          <w:sz w:val="26"/>
          <w:szCs w:val="26"/>
        </w:rPr>
        <w:t xml:space="preserve">“The Design Lead.”</w:t>
      </w:r>
      <w:r>
        <w:rPr>
          <w:sz w:val="22"/>
          <w:szCs w:val="22"/>
        </w:rPr>
        <w:t xml:space="preserve">  A senior brand / design lead at an in-house high-craft team — Apple Identity, Anthropic Brand, or Google. The person who opens your link first, because you sent it to them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Senior brand or design lead. Hires for the team, sets the craft bar, owns the “would I want them in the room” call.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Seniority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8–15 years. Has shipped identity systems at scale. Is not impressed by polish — swims in it daily.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How they arrive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Via a link you sent directly (DM or email). Warm enough to open, skeptical by default. They have seen hundreds of junior portfolios and most disappoint.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Emotional state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Mild skepticism with a flicker of hope. Sub-text: “another early-career designer emailed me — is this one different?” The site must disqualify that reflex within seconds.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Time budget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10–20 seconds on the homepage to decide whether to continue. If they continue, 3–5 minutes total. They are scanning, not reading.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Fluency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Total. They read craft, type, and credit instantly. No keyword, resume cue, or “available” badge moves them. Evidence moves them.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Downstream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If they pass you on, the next viewers are also designers judging craft — never a recruiter funnel. The whole loop is a craft audience.</w:t>
            </w:r>
          </w:p>
        </w:tc>
      </w:tr>
    </w:tbl>
    <w:p>
      <w:pPr>
        <w:pStyle w:val="Heading2"/>
      </w:pPr>
      <w:r>
        <w:t xml:space="preserve">What they are actually scanning for</w:t>
      </w:r>
    </w:p>
    <w:p>
      <w:pPr>
        <w:spacing w:after="160" w:line="276"/>
      </w:pPr>
      <w:r>
        <w:t xml:space="preserve">Three questions, in order. The site has to answer all three, fast: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Can this person actually do the work?</w:t>
      </w:r>
      <w:r>
        <w:t xml:space="preserve">  (Craft bar — is the output real and at level?)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Did they really do what they claim?</w:t>
      </w:r>
      <w:r>
        <w:t xml:space="preserve">  (Attribution — what was theirs vs. the team's?)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Would I want them in the room?</w:t>
      </w:r>
      <w:r>
        <w:t xml:space="preserve">  (Taste, judgment, point of view, ease of collaboration.)</w:t>
      </w:r>
    </w:p>
    <w:p>
      <w:pPr>
        <w:pStyle w:val="Heading2"/>
      </w:pPr>
      <w:r>
        <w:t xml:space="preserve">Their three reasons to pass — ranked by your own read</w:t>
      </w:r>
    </w:p>
    <w:p>
      <w:pPr>
        <w:spacing w:after="160" w:line="276"/>
      </w:pPr>
      <w:r>
        <w:t xml:space="preserve">You ranked these yourself. This is the order the site has to defend against: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“I can’t tell what they specifically did.” </w:t>
      </w:r>
      <w:r>
        <w:t xml:space="preserve">The attribution problem. Most acute on your strongest credential (AirPods, a 40-person effort) and least acute on your solo work.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“This reads as a generalist who’ll need narrowing.” </w:t>
      </w:r>
      <w:r>
        <w:t xml:space="preserve">The focus problem. The flip side of the range you love. See Section 02 — this is the central tension.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“The work isn’t at the craft bar yet.” </w:t>
      </w:r>
      <w:r>
        <w:t xml:space="preserve">Mitigated by curation: lead with the work that clears it, cut everything that doesn’t.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“Polished but I can’t see how they think.” </w:t>
      </w:r>
      <w:r>
        <w:t xml:space="preserve">Lowest risk for you — your case study structure already foregrounds thinking. Don’t over-correct into process-dumping.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pStyle w:val="Heading1"/>
      </w:pPr>
      <w:r>
        <w:t xml:space="preserve">02 — The central tension (read this twice)</w:t>
      </w:r>
    </w:p>
    <w:p>
      <w:pPr>
        <w:spacing w:after="160" w:line="276"/>
      </w:pPr>
      <w:r>
        <w:t xml:space="preserve">Your two strongest answers contradict each other on the surface. You want the lead to remember </w:t>
      </w:r>
      <w:r>
        <w:rPr>
          <w:i/>
          <w:iCs/>
        </w:rPr>
        <w:t xml:space="preserve">“range across mediums”</w:t>
      </w:r>
      <w:r>
        <w:t xml:space="preserve"> — but you also ranked </w:t>
      </w:r>
      <w:r>
        <w:rPr>
          <w:i/>
          <w:iCs/>
        </w:rPr>
        <w:t xml:space="preserve">“reads as generalist / needs narrowing”</w:t>
      </w:r>
      <w:r>
        <w:t xml:space="preserve"> as the #2 reason they pass. Those are the same trait seen from two sides.</w:t>
      </w:r>
    </w:p>
    <w:p>
      <w:pPr>
        <w:pBdr>
          <w:top w:val="nil"/>
          <w:left w:val="single" w:color="B5573A" w:sz="18" w:space="14"/>
          <w:bottom w:val="nil"/>
          <w:right w:val="nil"/>
        </w:pBdr>
        <w:spacing w:after="220" w:before="120" w:line="300"/>
        <w:ind w:left="260"/>
      </w:pPr>
      <w:r>
        <w:rPr>
          <w:i/>
          <w:iCs/>
          <w:color w:val="1A1A1A"/>
          <w:sz w:val="26"/>
          <w:szCs w:val="26"/>
        </w:rPr>
        <w:t xml:space="preserve">Range is your favorite thing about your work and the lead’s second-biggest reason to pass.</w:t>
      </w:r>
    </w:p>
    <w:p>
      <w:pPr>
        <w:spacing w:after="160" w:line="276"/>
      </w:pPr>
      <w:r>
        <w:t xml:space="preserve">This is not a contradiction to resolve away. It is </w:t>
      </w:r>
      <w:r>
        <w:rPr>
          <w:i/>
          <w:iCs/>
        </w:rPr>
        <w:t xml:space="preserve">the</w:t>
      </w:r>
      <w:r>
        <w:t xml:space="preserve"> problem the ICP is built around. The resolution is already latent in your framework’s smartest line — “range revealed through work, not declared” — but it needs sharpening:</w:t>
      </w:r>
    </w:p>
    <w:p>
      <w:pPr>
        <w:spacing w:after="160" w:line="276"/>
      </w:pPr>
      <w:r>
        <w:rPr>
          <w:b/>
          <w:bCs/>
        </w:rPr>
        <w:t xml:space="preserve">Range only reads as strength when it’s visibly held together by one mind with a point of view.</w:t>
      </w:r>
      <w:r>
        <w:t xml:space="preserve"> A generalist has range and no center. A systems designer has range </w:t>
      </w:r>
      <w:r>
        <w:rPr>
          <w:i/>
          <w:iCs/>
        </w:rPr>
        <w:t xml:space="preserve">because of</w:t>
      </w:r>
      <w:r>
        <w:t xml:space="preserve"> a center. The lead’s fear isn’t that you can do many things — it’s that you can do many things </w:t>
      </w:r>
      <w:r>
        <w:rPr>
          <w:i/>
          <w:iCs/>
        </w:rPr>
        <w:t xml:space="preserve">interchangeably and adequately</w:t>
      </w:r>
      <w:r>
        <w:t xml:space="preserve">, which means a year of narrowing. The site must prove the range is a </w:t>
      </w:r>
      <w:r>
        <w:rPr>
          <w:b/>
          <w:bCs/>
        </w:rPr>
        <w:t xml:space="preserve">consequence</w:t>
      </w:r>
      <w:r>
        <w:t xml:space="preserve">, not a menu.</w:t>
      </w:r>
    </w:p>
    <w:p>
      <w:pPr>
        <w:pStyle w:val="Heading2"/>
      </w:pPr>
      <w:r>
        <w:t xml:space="preserve">The fix: change what you want remembered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If they remember…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“range”  →  you LOSE. That’s the generalist read.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 to engineer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“that brand designer who thinks in systems — and the range is the proof.”</w:t>
            </w:r>
          </w:p>
        </w:tc>
      </w:tr>
    </w:tbl>
    <w:p>
      <w:pPr>
        <w:spacing w:after="160" w:line="276"/>
      </w:pPr>
      <w:r>
        <w:t xml:space="preserve">Range as </w:t>
      </w:r>
      <w:r>
        <w:rPr>
          <w:b/>
          <w:bCs/>
        </w:rPr>
        <w:t xml:space="preserve">evidence</w:t>
      </w:r>
      <w:r>
        <w:t xml:space="preserve"> of a systems mind, never as the headline. The discipline line you’ve already locked does this correctly: </w:t>
      </w:r>
      <w:r>
        <w:rPr>
          <w:i/>
          <w:iCs/>
        </w:rPr>
        <w:t xml:space="preserve">“Brand designer with a systems mind. Strategy, visual identity, motion.”</w:t>
      </w:r>
      <w:r>
        <w:t xml:space="preserve"> Hold that line. Resist every temptation to let the homepage say or imply “multi-disciplinary.”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pStyle w:val="Heading1"/>
      </w:pPr>
      <w:r>
        <w:t xml:space="preserve">03 — What the ICP demands of the site</w:t>
      </w:r>
    </w:p>
    <w:p>
      <w:pPr>
        <w:spacing w:after="160" w:line="276"/>
      </w:pPr>
      <w:r>
        <w:t xml:space="preserve">Concrete implications, each traceable to a specific thing the Design Lead is doing or fearing.</w:t>
      </w:r>
    </w:p>
    <w:p>
      <w:pPr>
        <w:pStyle w:val="Heading2"/>
      </w:pPr>
      <w:r>
        <w:t xml:space="preserve">a. Credential opens; proof closes</w:t>
      </w:r>
    </w:p>
    <w:p>
      <w:pPr>
        <w:spacing w:after="160" w:line="276"/>
      </w:pPr>
      <w:r>
        <w:t xml:space="preserve">AirPods is your </w:t>
      </w:r>
      <w:r>
        <w:rPr>
          <w:b/>
          <w:bCs/>
        </w:rPr>
        <w:t xml:space="preserve">credential project</w:t>
      </w:r>
      <w:r>
        <w:t xml:space="preserve"> — it earns the lead’s attention via the Apple name. Gaia is your </w:t>
      </w:r>
      <w:r>
        <w:rPr>
          <w:b/>
          <w:bCs/>
        </w:rPr>
        <w:t xml:space="preserve">proof project</w:t>
      </w:r>
      <w:r>
        <w:t xml:space="preserve"> — you alone carried brand → product → shipped app, which is the cleanest answer to the #1 pass-reason (attribution). These do different jobs. Counterintuitively, leaning too hard on Apple can </w:t>
      </w:r>
      <w:r>
        <w:rPr>
          <w:i/>
          <w:iCs/>
        </w:rPr>
        <w:t xml:space="preserve">increase</w:t>
      </w:r>
      <w:r>
        <w:t xml:space="preserve"> attribution suspicion (“you were one of forty”), while the work you may undervalue — a card deck, a self-built app — is your most unambiguous proof that you personally own a system end to end.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Keep the locked homepage order (AirPods → S&amp;S → Gaia) for the attention argument.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But make sure Gaia’s case study does the heaviest attribution lifting — it’s the page that converts skepticism into belief. Give it your best end-to-end </w:t>
      </w:r>
      <w:r>
        <w:rPr>
          <w:i/>
          <w:iCs/>
        </w:rPr>
        <w:t xml:space="preserve">“I did all of this, alone”</w:t>
      </w:r>
      <w:r>
        <w:t xml:space="preserve"> evidence.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On AirPods, your hero-lockup-first framing is exactly right: it isolates one unambiguous personal credit before the team context. Protect that structure.</w:t>
      </w:r>
    </w:p>
    <w:p>
      <w:pPr>
        <w:pStyle w:val="Heading2"/>
      </w:pPr>
      <w:r>
        <w:t xml:space="preserve">b. The first screen must kill the “another student” reflex</w:t>
      </w:r>
    </w:p>
    <w:p>
      <w:pPr>
        <w:spacing w:after="160" w:line="276"/>
      </w:pPr>
      <w:r>
        <w:t xml:space="preserve">Because you send the link, the lead arrives with a quiet prior: </w:t>
      </w:r>
      <w:r>
        <w:rPr>
          <w:i/>
          <w:iCs/>
        </w:rPr>
        <w:t xml:space="preserve">most cold portfolios are mediocre</w:t>
      </w:r>
      <w:r>
        <w:t xml:space="preserve">. The hero has seconds to break that prior. The Apple credential in the first viewport is the fastest break — not as a brag, but as a frame-reset. Everything below is read in its light.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Hero must signal craft, not announce availability. The work — or one unmistakable signal of it — does the talking.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No tagline, no “I design brands that…” sentence (you’ve already locked this — good). The discipline line plus the first project carry it.</w:t>
      </w:r>
    </w:p>
    <w:p>
      <w:pPr>
        <w:pStyle w:val="Heading2"/>
      </w:pPr>
      <w:r>
        <w:t xml:space="preserve">c. New-grad question: don’t perform seniority, don’t apologize for it</w:t>
      </w:r>
    </w:p>
    <w:p>
      <w:pPr>
        <w:spacing w:after="160" w:line="276"/>
      </w:pPr>
      <w:r>
        <w:t xml:space="preserve">You said you were unsure how to play this. Here’s the read for </w:t>
      </w:r>
      <w:r>
        <w:rPr>
          <w:i/>
          <w:iCs/>
        </w:rPr>
        <w:t xml:space="preserve">this</w:t>
      </w:r>
      <w:r>
        <w:t xml:space="preserve"> viewer: a new grad straining to sound like a ten-year veteran is the most common tell and the fastest disqualifier. Your advantage is an unusual asymmetry — </w:t>
      </w:r>
      <w:r>
        <w:rPr>
          <w:b/>
          <w:bCs/>
        </w:rPr>
        <w:t xml:space="preserve">early-career energy, senior-grade evidence</w:t>
      </w:r>
      <w:r>
        <w:t xml:space="preserve">. You have an Apple launch credit, 20,000 decks in REI, and a shipped iOS app. That body of work </w:t>
      </w:r>
      <w:r>
        <w:rPr>
          <w:i/>
          <w:iCs/>
        </w:rPr>
        <w:t xml:space="preserve">is</w:t>
      </w:r>
      <w:r>
        <w:t xml:space="preserve"> the seniority claim; you don’t need to make it in words.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Let curiosity, velocity, and AI-nativeness read as early-career strengths, not liabilities.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Keep the voice grounded and precise (your locked tone). Never reach for gravitas the copy hasn’t earned.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ArtCenter / new-grad status stays on /info under Education — never on the homepage, never in project metadata. The work sets the level before any age signal appears.</w:t>
      </w:r>
    </w:p>
    <w:p>
      <w:pPr>
        <w:pStyle w:val="Heading2"/>
      </w:pPr>
      <w:r>
        <w:t xml:space="preserve">d. Everything is read by a fluent eye</w:t>
      </w:r>
    </w:p>
    <w:p>
      <w:pPr>
        <w:spacing w:after="160" w:line="276"/>
      </w:pPr>
      <w:r>
        <w:t xml:space="preserve">Downstream viewers are designers, not recruiters. This frees the site to be quiet and punishes anything that looks like it’s trying: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No keyword stuffing, no resume optimization, no SEO-bait copy.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The site-as-a-project ambition is a double edge. Done right, it’s proof of craft. Done slightly over, it reads as a student trying too hard and the site out-shines the work. When unsure, dial the site DOWN and the work UP.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t xml:space="preserve">Custom interactions earn their place only if they signal considered judgment — never as a pattern showcase. (Your motion hierarchy already enforces this.)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pStyle w:val="Heading1"/>
      </w:pPr>
      <w:r>
        <w:t xml:space="preserve">04 — Secondary &amp; tertiary audiences</w:t>
      </w:r>
    </w:p>
    <w:p>
      <w:pPr>
        <w:spacing w:after="160" w:line="276"/>
      </w:pPr>
      <w:r>
        <w:t xml:space="preserve">Same site, no extra work — these are satisfied as a byproduct of winning the primary ICP. Listed so you know what each notices, and so you never compromise the primary read to chase them.</w:t>
      </w:r>
    </w:p>
    <w:p>
      <w:pPr>
        <w:pBdr>
          <w:top w:val="single" w:color="B5573A" w:sz="2"/>
          <w:bottom w:val="single" w:color="B5573A" w:sz="2"/>
          <w:left w:val="single" w:color="B5573A" w:sz="2"/>
          <w:right w:val="single" w:color="B5573A" w:sz="2"/>
        </w:pBdr>
        <w:shd w:fill="B5573A" w:val="clear"/>
        <w:spacing w:after="60" w:before="60"/>
      </w:pPr>
      <w:r>
        <w:rPr>
          <w:b/>
          <w:bCs/>
          <w:color w:val="FFFFFF"/>
          <w:sz w:val="22"/>
          <w:szCs w:val="22"/>
        </w:rPr>
        <w:t>PRIMARY   The Design Lead — in-house high craft (Apple / Anthropic / Google)</w:t>
      </w:r>
    </w:p>
    <w:p>
      <w:pPr>
        <w:spacing w:after="160" w:line="276"/>
      </w:pPr>
      <w:r>
        <w:rPr>
          <w:color w:val="6B6B6B"/>
          <w:sz w:val="20"/>
          <w:szCs w:val="20"/>
        </w:rPr>
        <w:t xml:space="preserve">Covered above. Wins on: craft bar, attribution clarity, systems-mind point of view.</w:t>
      </w:r>
    </w:p>
    <w:p>
      <w:pPr>
        <w:pBdr>
          <w:top w:val="single" w:color="8A6D3B" w:sz="2"/>
          <w:bottom w:val="single" w:color="8A6D3B" w:sz="2"/>
          <w:left w:val="single" w:color="8A6D3B" w:sz="2"/>
          <w:right w:val="single" w:color="8A6D3B" w:sz="2"/>
        </w:pBdr>
        <w:shd w:fill="8A6D3B" w:val="clear"/>
        <w:spacing w:after="60" w:before="60"/>
      </w:pPr>
      <w:r>
        <w:rPr>
          <w:b/>
          <w:bCs/>
          <w:color w:val="FFFFFF"/>
          <w:sz w:val="22"/>
          <w:szCs w:val="22"/>
        </w:rPr>
        <w:t>SECONDARY   The Studio Creative Director (Koto, Mouthwash, Some Days, New Co.)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Why secondary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A studio CD clears a bar set for an Apple lead. Same craft fluency, slightly different priority.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 they add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They care most about taste, editorial sensibility, and clean categorical fit — “can I drop this person in the brand-designer box without hesitation, while noticing the range?”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 serves them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Simon &amp; Schuster, Karuna, Weaponized Innocence (editorial + craft). The Fonts in Use recognition reads loudest here.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Risk to avoid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Don’t let the AI / product / tech signals crowd out the editorial-craft proof. The studio reader needs to see the typographic hand.</w:t>
            </w:r>
          </w:p>
        </w:tc>
      </w:tr>
    </w:tbl>
    <w:p>
      <w:pPr>
        <w:pBdr>
          <w:top w:val="single" w:color="5B7065" w:sz="2"/>
          <w:bottom w:val="single" w:color="5B7065" w:sz="2"/>
          <w:left w:val="single" w:color="5B7065" w:sz="2"/>
          <w:right w:val="single" w:color="5B7065" w:sz="2"/>
        </w:pBdr>
        <w:shd w:fill="5B7065" w:val="clear"/>
        <w:spacing w:after="60" w:before="60"/>
      </w:pPr>
      <w:r>
        <w:rPr>
          <w:b/>
          <w:bCs/>
          <w:color w:val="FFFFFF"/>
          <w:sz w:val="22"/>
          <w:szCs w:val="22"/>
        </w:rPr>
        <w:t>TERTIARY   The Funded-Startup Founder / Head of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Why tertiary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Lowest craft bar of the three, highest velocity bar. Easily satisfied once the primary is met.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 they add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They scan for shipping velocity and AI fluency within ~60 seconds — “will this person make real things, fast?”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0ED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 serves them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Gaia (AI-native build), National Park Playing Cards (shipped, real market), and the site itself being AI-built as a second proof.</w:t>
            </w:r>
          </w:p>
        </w:tc>
      </w:tr>
      <w:tr>
        <w:tc>
          <w:tcPr>
            <w:tcW w:type="dxa" w:w="270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7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Risk to avoid</w:t>
            </w:r>
          </w:p>
        </w:tc>
        <w:tc>
          <w:tcPr>
            <w:tcW w:type="dxa" w:w="6660"/>
            <w:tcBorders>
              <w:top w:val="single" w:color="D9D4CE" w:sz="1"/>
              <w:left w:val="single" w:color="D9D4CE" w:sz="1"/>
              <w:bottom w:val="single" w:color="D9D4CE" w:sz="1"/>
              <w:right w:val="single" w:color="D9D4CE" w:sz="1"/>
            </w:tcBorders>
            <w:shd w:fill="FDFC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Don’t over-index on “move fast” signals at the expense of craft — that trade reads as a downgrade to the primary ICP.</w:t>
            </w:r>
          </w:p>
        </w:tc>
      </w:tr>
    </w:tbl>
    <w:p>
      <w:pPr>
        <w:pStyle w:val="Heading2"/>
      </w:pPr>
      <w:r>
        <w:t xml:space="preserve">The quiet fourth reader</w:t>
      </w:r>
    </w:p>
    <w:p>
      <w:pPr>
        <w:spacing w:after="160" w:line="276"/>
      </w:pPr>
      <w:r>
        <w:t xml:space="preserve">A </w:t>
      </w:r>
      <w:r>
        <w:rPr>
          <w:b/>
          <w:bCs/>
        </w:rPr>
        <w:t xml:space="preserve">fellow designer who already likes the work</w:t>
      </w:r>
      <w:r>
        <w:t xml:space="preserve"> and goes deep — peer, friend, someone who forwarded your link. They reward exploration. This is who the /index alphabetical density and the WorldGrid 3D gallery are for. Never let this reader’s payoff leak onto the homepage, where it would undercut restraint for the primary ICP. It’s a reward for going deep, not a front door. (Your framework already nails this — keep it.)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pStyle w:val="Heading1"/>
      </w:pPr>
      <w:r>
        <w:t xml:space="preserve">05 — The one-page reference</w:t>
      </w:r>
    </w:p>
    <w:p>
      <w:pPr>
        <w:spacing w:after="160" w:line="276"/>
      </w:pPr>
      <w:r>
        <w:t xml:space="preserve">Pin this. When a build decision feels unclear, check it against these.</w:t>
      </w:r>
    </w:p>
    <w:p>
      <w:pPr>
        <w:spacing w:after="60" w:before="40"/>
      </w:pPr>
      <w:r>
        <w:rPr>
          <w:b/>
          <w:bCs/>
          <w:color w:val="B5573A"/>
          <w:spacing w:val="30"/>
          <w:sz w:val="18"/>
          <w:szCs w:val="18"/>
        </w:rPr>
        <w:t xml:space="preserve">THE READER</w:t>
      </w:r>
    </w:p>
    <w:p>
      <w:pPr>
        <w:spacing w:after="160" w:line="276"/>
      </w:pPr>
      <w:r>
        <w:rPr>
          <w:b/>
          <w:bCs/>
        </w:rPr>
        <w:t xml:space="preserve">A skeptical-but-hopeful senior design lead at an in-house high-craft team, opening a link you sent, with 15 seconds and a fluent eye.</w:t>
      </w:r>
    </w:p>
    <w:p>
      <w:pPr>
        <w:spacing w:after="60" w:before="40"/>
      </w:pPr>
      <w:r>
        <w:rPr>
          <w:b/>
          <w:bCs/>
          <w:color w:val="B5573A"/>
          <w:spacing w:val="30"/>
          <w:sz w:val="18"/>
          <w:szCs w:val="18"/>
        </w:rPr>
        <w:t xml:space="preserve">THEIR THREE QUESTIONS</w:t>
      </w:r>
    </w:p>
    <w:p>
      <w:pPr>
        <w:spacing w:after="160" w:line="276"/>
      </w:pPr>
      <w:r>
        <w:t xml:space="preserve">Can they do the work?  /  Did they really do it?  /  Would I want them in the room?</w:t>
      </w:r>
    </w:p>
    <w:p>
      <w:pPr>
        <w:spacing w:after="60" w:before="40"/>
      </w:pPr>
      <w:r>
        <w:rPr>
          <w:b/>
          <w:bCs/>
          <w:color w:val="B5573A"/>
          <w:spacing w:val="30"/>
          <w:sz w:val="18"/>
          <w:szCs w:val="18"/>
        </w:rPr>
        <w:t xml:space="preserve">THE ONE THING TO BE REMEMBERED</w:t>
      </w:r>
    </w:p>
    <w:p>
      <w:pPr>
        <w:spacing w:after="160" w:line="276"/>
      </w:pPr>
      <w:r>
        <w:rPr>
          <w:b/>
          <w:bCs/>
          <w:color w:val="B5573A"/>
        </w:rPr>
        <w:t xml:space="preserve">“A brand designer who thinks in systems — and the range is the proof.”</w:t>
      </w:r>
    </w:p>
    <w:p>
      <w:pPr>
        <w:spacing w:after="60" w:before="40"/>
      </w:pPr>
      <w:r>
        <w:rPr>
          <w:b/>
          <w:bCs/>
          <w:color w:val="B5573A"/>
          <w:spacing w:val="30"/>
          <w:sz w:val="18"/>
          <w:szCs w:val="18"/>
        </w:rPr>
        <w:t xml:space="preserve">THE TEST FOR EVERY DECISION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Does this make craft, attribution, or point-of-view clearer? → Keep.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Does it make the range read as a menu rather than a consequence? → Cut.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Is the site out-shining the work? → Dial the site down.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Is it performing seniority the work hasn’t earned? → Cut.</w:t>
      </w:r>
    </w:p>
    <w:p>
      <w:pPr>
        <w:pBdr>
          <w:bottom w:val="single" w:color="D9D4CE" w:sz="6" w:space="1"/>
        </w:pBdr>
        <w:spacing w:after="220" w:before="120"/>
      </w:pPr>
      <w:r>
        <w:t xml:space="preserve"/>
      </w:r>
    </w:p>
    <w:p>
      <w:pPr>
        <w:spacing w:after="160" w:line="276"/>
      </w:pPr>
      <w:r>
        <w:rPr>
          <w:b/>
          <w:bCs/>
          <w:color w:val="B5573A"/>
        </w:rPr>
        <w:t xml:space="preserve">Open question worth revisiting: </w:t>
      </w:r>
      <w:r>
        <w:rPr>
          <w:i/>
          <w:iCs/>
          <w:color w:val="6B6B6B"/>
          <w:sz w:val="20"/>
          <w:szCs w:val="20"/>
        </w:rPr>
        <w:t xml:space="preserve">among Apple Identity, Anthropic, and Google, is one the true bullseye? They share a craft bar but differ in culture — Anthropic and Google reward the AI-native / product signals more openly than Apple Identity, which is the purest brand-craft read. If one becomes the real target, we can sharpen the primary persona one notch further.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573A" w:sz="8" w:space="6"/>
      </w:pBdr>
      <w:spacing w:after="200" w:before="36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B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2026-06-15T22:19:42.064Z</dcterms:created>
  <dcterms:modified xsi:type="dcterms:W3CDTF">2026-06-15T22:19:42.064Z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