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标准操作程序 — 装甲动力系统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标准操作程序 |</w:t>
      </w:r>
    </w:p>
    <w:p>
      <w:r>
        <w:t>| 装备型号 | Type 99A（主战坦克） |</w:t>
      </w:r>
    </w:p>
    <w:p>
      <w:r>
        <w:t>| 版本号 | 2.9 |</w:t>
      </w:r>
    </w:p>
    <w:p>
      <w:r>
        <w:t>| 编制日期 | 2026年6月21日 |</w:t>
      </w:r>
    </w:p>
    <w:p/>
    <w:p>
      <w:pPr>
        <w:pStyle w:val="Heading2"/>
      </w:pPr>
      <w:r>
        <w:t>一、适用范围</w:t>
      </w:r>
    </w:p>
    <w:p>
      <w:r>
        <w:t>本文件规定了主战坦克的标准操作程序要求。</w:t>
      </w:r>
    </w:p>
    <w:p/>
    <w:p>
      <w:pPr>
        <w:pStyle w:val="Heading2"/>
      </w:pPr>
      <w:r>
        <w:t>二、引用标准</w:t>
      </w:r>
    </w:p>
    <w:p>
      <w:r>
        <w:t>- GJB 450B-2008</w:t>
      </w:r>
    </w:p>
    <w:p>
      <w:r>
        <w:t>- GJB 151B-2013</w:t>
      </w:r>
    </w:p>
    <w:p>
      <w:r>
        <w:t>- GJB 1362A-2007</w:t>
      </w:r>
    </w:p>
    <w:p/>
    <w:p>
      <w:pPr>
        <w:pStyle w:val="Heading2"/>
      </w:pPr>
      <w:r>
        <w:t>三、技术要求</w:t>
      </w:r>
    </w:p>
    <w:p>
      <w:r>
        <w:t>- 可用度：99.5 %</w:t>
      </w:r>
    </w:p>
    <w:p>
      <w:r>
        <w:t>- 备用功率：2 W</w:t>
      </w:r>
    </w:p>
    <w:p>
      <w:r>
        <w:t>- 探测距离：60 km</w:t>
      </w:r>
    </w:p>
    <w:p>
      <w:r>
        <w:t>- 抗振等级：MIL-STD-810G</w:t>
      </w:r>
    </w:p>
    <w:p>
      <w:r>
        <w:t>- 工作频段：8-12 GHz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