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培训教材 — 电子战光电对抗</w:t>
      </w:r>
    </w:p>
    <w:p/>
    <w:p>
      <w:pPr>
        <w:pStyle w:val="Heading2"/>
      </w:pPr>
      <w:r>
        <w:t>文档信息</w:t>
      </w:r>
    </w:p>
    <w:p>
      <w:r>
        <w:t>| 字段 | 内容 |</w:t>
      </w:r>
    </w:p>
    <w:p>
      <w:r>
        <w:t>|------|------|</w:t>
      </w:r>
    </w:p>
    <w:p>
      <w:r>
        <w:t>| 文档类型 | 培训教材 |</w:t>
      </w:r>
    </w:p>
    <w:p>
      <w:r>
        <w:t>| 装备型号 | GJ-11（隐身攻击无人机） |</w:t>
      </w:r>
    </w:p>
    <w:p>
      <w:r>
        <w:t>| 版本号 | 4.5 |</w:t>
      </w:r>
    </w:p>
    <w:p>
      <w:r>
        <w:t>| 编制日期 | 2026年6月17日 |</w:t>
      </w:r>
    </w:p>
    <w:p/>
    <w:p>
      <w:pPr>
        <w:pStyle w:val="Heading2"/>
      </w:pPr>
      <w:r>
        <w:t>一、适用范围</w:t>
      </w:r>
    </w:p>
    <w:p>
      <w:r>
        <w:t>本文件规定了隐身攻击无人机的培训教材要求。</w:t>
      </w:r>
    </w:p>
    <w:p/>
    <w:p>
      <w:pPr>
        <w:pStyle w:val="Heading2"/>
      </w:pPr>
      <w:r>
        <w:t>二、引用标准</w:t>
      </w:r>
    </w:p>
    <w:p>
      <w:r>
        <w:t>- GJB 450B-2008</w:t>
      </w:r>
    </w:p>
    <w:p>
      <w:r>
        <w:t>- GJB 899A-2009</w:t>
      </w:r>
    </w:p>
    <w:p>
      <w:r>
        <w:t>- GJB 150A-2009</w:t>
      </w:r>
    </w:p>
    <w:p/>
    <w:p>
      <w:pPr>
        <w:pStyle w:val="Heading2"/>
      </w:pPr>
      <w:r>
        <w:t>三、技术要求</w:t>
      </w:r>
    </w:p>
    <w:p>
      <w:r>
        <w:t>- 备用功率：2 W</w:t>
      </w:r>
    </w:p>
    <w:p>
      <w:r>
        <w:t>- 探测距离：60 km</w:t>
      </w:r>
    </w:p>
    <w:p>
      <w:r>
        <w:t>- 大修间隔：5000 h</w:t>
      </w:r>
    </w:p>
    <w:p>
      <w:r>
        <w:t>- EMC等级：GJB 151B</w:t>
      </w:r>
    </w:p>
    <w:p>
      <w:r>
        <w:t>- 调频带宽：100 MHz</w:t>
      </w:r>
    </w:p>
    <w:p/>
    <w:p>
      <w:pPr>
        <w:pStyle w:val="Heading2"/>
      </w:pPr>
      <w:r>
        <w:t>四、试验方法</w:t>
      </w:r>
    </w:p>
    <w:p>
      <w:pPr>
        <w:pStyle w:val="Heading3"/>
      </w:pPr>
      <w:r>
        <w:t>4.1 环境适应性试验</w:t>
      </w:r>
    </w:p>
    <w:p>
      <w:r>
        <w:t>将装备置于环境试验箱中，从-40°C升至+55°C循环，每个温度保持2小时。测试全部功能参数。</w:t>
      </w:r>
    </w:p>
    <w:p/>
    <w:p>
      <w:pPr>
        <w:pStyle w:val="Heading3"/>
      </w:pPr>
      <w:r>
        <w:t>4.2 可靠性试验</w:t>
      </w:r>
    </w:p>
    <w:p>
      <w:r>
        <w:t>连续运行500小时，记录所有故障，计算观测MTBF值。</w:t>
      </w:r>
    </w:p>
    <w:p/>
    <w:p>
      <w:pPr>
        <w:pStyle w:val="Heading3"/>
      </w:pPr>
      <w:r>
        <w:t>4.3 电磁兼容试验</w:t>
      </w:r>
    </w:p>
    <w:p>
      <w:r>
        <w:t>按GJB 151B进行辐射发射和传导发射测试。验证辐射敏感度不低于200 V/m。</w:t>
      </w:r>
    </w:p>
    <w:p/>
    <w:p>
      <w:pPr>
        <w:pStyle w:val="Heading2"/>
      </w:pPr>
      <w:r>
        <w:t>五、验收标准</w:t>
      </w:r>
    </w:p>
    <w:p>
      <w:r>
        <w:t>所有参数应满足第三章规定值，关键缺陷数为零。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