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标准操作程序 — 卫生传染病防控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标准操作程序 |</w:t>
      </w:r>
    </w:p>
    <w:p>
      <w:r>
        <w:t>| 装备型号 | AN/TPQ-53（反炮兵雷达） |</w:t>
      </w:r>
    </w:p>
    <w:p>
      <w:r>
        <w:t>| 版本号 | 1.6 |</w:t>
      </w:r>
    </w:p>
    <w:p>
      <w:r>
        <w:t>| 编制日期 | 2026年6月27日 |</w:t>
      </w:r>
    </w:p>
    <w:p/>
    <w:p>
      <w:pPr>
        <w:pStyle w:val="Heading2"/>
      </w:pPr>
      <w:r>
        <w:t>一、适用范围</w:t>
      </w:r>
    </w:p>
    <w:p>
      <w:r>
        <w:t>本文件规定了反炮兵雷达的标准操作程序要求。</w:t>
      </w:r>
    </w:p>
    <w:p/>
    <w:p>
      <w:pPr>
        <w:pStyle w:val="Heading2"/>
      </w:pPr>
      <w:r>
        <w:t>二、引用标准</w:t>
      </w:r>
    </w:p>
    <w:p>
      <w:r>
        <w:t>- GJB 151B-2013</w:t>
      </w:r>
    </w:p>
    <w:p>
      <w:r>
        <w:t>- GJB 150A-2009</w:t>
      </w:r>
    </w:p>
    <w:p>
      <w:r>
        <w:t>- GJB 450B-2008</w:t>
      </w:r>
    </w:p>
    <w:p/>
    <w:p>
      <w:pPr>
        <w:pStyle w:val="Heading2"/>
      </w:pPr>
      <w:r>
        <w:t>三、技术要求</w:t>
      </w:r>
    </w:p>
    <w:p>
      <w:r>
        <w:t>- 可用度：99.5 %</w:t>
      </w:r>
    </w:p>
    <w:p>
      <w:r>
        <w:t>- 平均功率：5 kW</w:t>
      </w:r>
    </w:p>
    <w:p>
      <w:r>
        <w:t>- 防护等级：IP67</w:t>
      </w:r>
    </w:p>
    <w:p>
      <w:r>
        <w:t>- 载波频率：2.4 GHz</w:t>
      </w:r>
    </w:p>
    <w:p>
      <w:r>
        <w:t>- 识别距离：80 km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