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 — missiles Ballistic Computation</w:t>
      </w:r>
    </w:p>
    <w:p/>
    <w:p>
      <w:pPr>
        <w:pStyle w:val="Heading2"/>
      </w:pPr>
      <w:r>
        <w:t>Document Information</w:t>
      </w:r>
    </w:p>
    <w:p>
      <w:r>
        <w:t>| Field | Value |</w:t>
      </w:r>
    </w:p>
    <w:p>
      <w:r>
        <w:t>|-------|-------|</w:t>
      </w:r>
    </w:p>
    <w:p>
      <w:r>
        <w:t>| Document Type | Technical Specification |</w:t>
      </w:r>
    </w:p>
    <w:p>
      <w:r>
        <w:t>| Equipment | SAM system |</w:t>
      </w:r>
    </w:p>
    <w:p>
      <w:r>
        <w:t>| Version | 4.5 |</w:t>
      </w:r>
    </w:p>
    <w:p>
      <w:r>
        <w:t>| Date | 2026-06-28 |</w:t>
      </w:r>
    </w:p>
    <w:p/>
    <w:p>
      <w:pPr>
        <w:pStyle w:val="Heading2"/>
      </w:pPr>
      <w:r>
        <w:t>1. Scope</w:t>
      </w:r>
    </w:p>
    <w:p>
      <w:r>
        <w:t>This document defines the technical specification for the SAM system system.</w:t>
      </w:r>
    </w:p>
    <w:p/>
    <w:p>
      <w:pPr>
        <w:pStyle w:val="Heading2"/>
      </w:pPr>
      <w:r>
        <w:t>2. Applicable Standards</w:t>
      </w:r>
    </w:p>
    <w:p>
      <w:r>
        <w:t>- GJB 151B-2013</w:t>
      </w:r>
    </w:p>
    <w:p>
      <w:r>
        <w:t>- MIL-STD-810G</w:t>
      </w:r>
    </w:p>
    <w:p>
      <w:r>
        <w:t>- ISO 9001:2015</w:t>
      </w:r>
    </w:p>
    <w:p/>
    <w:p>
      <w:pPr>
        <w:pStyle w:val="Heading2"/>
      </w:pPr>
      <w:r>
        <w:t>3. Technical Requirements</w:t>
      </w:r>
    </w:p>
    <w:p>
      <w:r>
        <w:t>- Standby Power: 2 W</w:t>
      </w:r>
    </w:p>
    <w:p>
      <w:r>
        <w:t>- Operating Frequency: 8-12 GHz</w:t>
      </w:r>
    </w:p>
    <w:p>
      <w:r>
        <w:t>- Vibration Grade: MIL-STD-810G</w:t>
      </w:r>
    </w:p>
    <w:p>
      <w:r>
        <w:t>- Detection Range: 60 km</w:t>
      </w:r>
    </w:p>
    <w:p>
      <w:r>
        <w:t>- Service Life: 20 year</w:t>
      </w:r>
    </w:p>
    <w:p/>
    <w:p>
      <w:pPr>
        <w:pStyle w:val="Heading2"/>
      </w:pPr>
      <w:r>
        <w:t>4. Test Methods</w:t>
      </w:r>
    </w:p>
    <w:p>
      <w:pPr>
        <w:pStyle w:val="Heading3"/>
      </w:pPr>
      <w:r>
        <w:t>4.1 Environmental Test</w:t>
      </w:r>
    </w:p>
    <w:p>
      <w:r>
        <w:t>Place equipment in environmental chamber. Cycle temperature from -40C to +55C over 4 hours. Hold at each extreme for 2 hours. Verify all functional parameters within specification.</w:t>
      </w:r>
    </w:p>
    <w:p/>
    <w:p>
      <w:pPr>
        <w:pStyle w:val="Heading3"/>
      </w:pPr>
      <w:r>
        <w:t>4.2 Reliability Test</w:t>
      </w:r>
    </w:p>
    <w:p>
      <w:r>
        <w:t>Conduct continuous operation test for 500 hours. Record all failures. Calculate observed MTBF.</w:t>
      </w:r>
    </w:p>
    <w:p/>
    <w:p>
      <w:pPr>
        <w:pStyle w:val="Heading3"/>
      </w:pPr>
      <w:r>
        <w:t>4.3 EMC Test</w:t>
      </w:r>
    </w:p>
    <w:p>
      <w:r>
        <w:t>Perform radiated and conducted emissions testing per GJB 151B. Verify radiated susceptibility up to 200 V/m.</w:t>
      </w:r>
    </w:p>
    <w:p/>
    <w:p>
      <w:pPr>
        <w:pStyle w:val="Heading2"/>
      </w:pPr>
      <w:r>
        <w:t>5. Acceptance Criteria</w:t>
      </w:r>
    </w:p>
    <w:p>
      <w:r>
        <w:t>All parameters shall meet or exceed values specified in Section 3. Zero critical defects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