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Improvement Proposal — missiles Ballistic Computation</w:t>
      </w:r>
    </w:p>
    <w:p/>
    <w:p>
      <w:pPr>
        <w:pStyle w:val="Heading2"/>
      </w:pPr>
      <w:r>
        <w:t>Document Information</w:t>
      </w:r>
    </w:p>
    <w:p>
      <w:r>
        <w:t>| Field | Value |</w:t>
      </w:r>
    </w:p>
    <w:p>
      <w:r>
        <w:t>|-------|-------|</w:t>
      </w:r>
    </w:p>
    <w:p>
      <w:r>
        <w:t>| Document Type | Improvement Proposal |</w:t>
      </w:r>
    </w:p>
    <w:p>
      <w:r>
        <w:t>| Equipment | Stealth fighter |</w:t>
      </w:r>
    </w:p>
    <w:p>
      <w:r>
        <w:t>| Version | 3.6 |</w:t>
      </w:r>
    </w:p>
    <w:p>
      <w:r>
        <w:t>| Date | 2026-06-12 |</w:t>
      </w:r>
    </w:p>
    <w:p/>
    <w:p>
      <w:pPr>
        <w:pStyle w:val="Heading2"/>
      </w:pPr>
      <w:r>
        <w:t>1. Scope</w:t>
      </w:r>
    </w:p>
    <w:p>
      <w:r>
        <w:t>This document defines the improvement proposal for the Stealth fighter system.</w:t>
      </w:r>
    </w:p>
    <w:p/>
    <w:p>
      <w:pPr>
        <w:pStyle w:val="Heading2"/>
      </w:pPr>
      <w:r>
        <w:t>2. Applicable Standards</w:t>
      </w:r>
    </w:p>
    <w:p>
      <w:r>
        <w:t>- ISO 9001:2015</w:t>
      </w:r>
    </w:p>
    <w:p>
      <w:r>
        <w:t>- GJB 150A-2009</w:t>
      </w:r>
    </w:p>
    <w:p>
      <w:r>
        <w:t>- DEF-STAN-00-35</w:t>
      </w:r>
    </w:p>
    <w:p/>
    <w:p>
      <w:pPr>
        <w:pStyle w:val="Heading2"/>
      </w:pPr>
      <w:r>
        <w:t>3. Technical Requirements</w:t>
      </w:r>
    </w:p>
    <w:p>
      <w:r>
        <w:t>- TX Power: 20 W</w:t>
      </w:r>
    </w:p>
    <w:p>
      <w:r>
        <w:t>- Storage Temp: -50~+70 °C</w:t>
      </w:r>
    </w:p>
    <w:p>
      <w:r>
        <w:t>- Overhaul Interval: 5000 h</w:t>
      </w:r>
    </w:p>
    <w:p>
      <w:r>
        <w:t>- Hop Rate: 500 hop/s</w:t>
      </w:r>
    </w:p>
    <w:p>
      <w:r>
        <w:t>- Detection Range: 60 km</w:t>
      </w:r>
    </w:p>
    <w:p/>
    <w:p>
      <w:pPr>
        <w:pStyle w:val="Heading2"/>
      </w:pPr>
      <w:r>
        <w:t>4. Test Methods</w:t>
      </w:r>
    </w:p>
    <w:p>
      <w:pPr>
        <w:pStyle w:val="Heading3"/>
      </w:pPr>
      <w:r>
        <w:t>4.1 Environmental Test</w:t>
      </w:r>
    </w:p>
    <w:p>
      <w:r>
        <w:t>Place equipment in environmental chamber. Cycle temperature from -40C to +55C over 4 hours. Hold at each extreme for 2 hours. Verify all functional parameters within specification.</w:t>
      </w:r>
    </w:p>
    <w:p/>
    <w:p>
      <w:pPr>
        <w:pStyle w:val="Heading3"/>
      </w:pPr>
      <w:r>
        <w:t>4.2 Reliability Test</w:t>
      </w:r>
    </w:p>
    <w:p>
      <w:r>
        <w:t>Conduct continuous operation test for 500 hours. Record all failures. Calculate observed MTBF.</w:t>
      </w:r>
    </w:p>
    <w:p/>
    <w:p>
      <w:pPr>
        <w:pStyle w:val="Heading3"/>
      </w:pPr>
      <w:r>
        <w:t>4.3 EMC Test</w:t>
      </w:r>
    </w:p>
    <w:p>
      <w:r>
        <w:t>Perform radiated and conducted emissions testing per GJB 151B. Verify radiated susceptibility up to 200 V/m.</w:t>
      </w:r>
    </w:p>
    <w:p/>
    <w:p>
      <w:pPr>
        <w:pStyle w:val="Heading2"/>
      </w:pPr>
      <w:r>
        <w:t>5. Acceptance Criteria</w:t>
      </w:r>
    </w:p>
    <w:p>
      <w:r>
        <w:t>All parameters shall meet or exceed values specified in Section 3. Zero critical defects permitted.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