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培训教材 — 雷达波形设计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培训教材 |</w:t>
      </w:r>
    </w:p>
    <w:p>
      <w:r>
        <w:t>| 装备型号 | WZ-7（无人侦察机） |</w:t>
      </w:r>
    </w:p>
    <w:p>
      <w:r>
        <w:t>| 版本号 | 2.5 |</w:t>
      </w:r>
    </w:p>
    <w:p>
      <w:r>
        <w:t>| 编制日期 | 2026年6月10日 |</w:t>
      </w:r>
    </w:p>
    <w:p/>
    <w:p>
      <w:pPr>
        <w:pStyle w:val="Heading2"/>
      </w:pPr>
      <w:r>
        <w:t>一、适用范围</w:t>
      </w:r>
    </w:p>
    <w:p>
      <w:r>
        <w:t>本文件规定了无人侦察机的培训教材要求。</w:t>
      </w:r>
    </w:p>
    <w:p/>
    <w:p>
      <w:pPr>
        <w:pStyle w:val="Heading2"/>
      </w:pPr>
      <w:r>
        <w:t>二、引用标准</w:t>
      </w:r>
    </w:p>
    <w:p>
      <w:r>
        <w:t>- GJB 899A-2009</w:t>
      </w:r>
    </w:p>
    <w:p>
      <w:r>
        <w:t>- GJB 151B-2013</w:t>
      </w:r>
    </w:p>
    <w:p>
      <w:r>
        <w:t>- GJB 150A-2009</w:t>
      </w:r>
    </w:p>
    <w:p/>
    <w:p>
      <w:pPr>
        <w:pStyle w:val="Heading2"/>
      </w:pPr>
      <w:r>
        <w:t>三、技术要求</w:t>
      </w:r>
    </w:p>
    <w:p>
      <w:r>
        <w:t>- 寿命：20 year</w:t>
      </w:r>
    </w:p>
    <w:p>
      <w:r>
        <w:t>- 备用功率：2 W</w:t>
      </w:r>
    </w:p>
    <w:p>
      <w:r>
        <w:t>- 探测距离：60 km</w:t>
      </w:r>
    </w:p>
    <w:p>
      <w:r>
        <w:t>- EMC等级：GJB 151B</w:t>
      </w:r>
    </w:p>
    <w:p>
      <w:r>
        <w:t>- 跳频速率：500 hop/s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