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改进方案 — 雷达超视距探测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改进方案 |</w:t>
      </w:r>
    </w:p>
    <w:p>
      <w:r>
        <w:t>| 装备型号 | WZ-7（无人侦察机） |</w:t>
      </w:r>
    </w:p>
    <w:p>
      <w:r>
        <w:t>| 版本号 | 2.4 |</w:t>
      </w:r>
    </w:p>
    <w:p>
      <w:r>
        <w:t>| 编制日期 | 2026年6月23日 |</w:t>
      </w:r>
    </w:p>
    <w:p/>
    <w:p>
      <w:pPr>
        <w:pStyle w:val="Heading2"/>
      </w:pPr>
      <w:r>
        <w:t>一、适用范围</w:t>
      </w:r>
    </w:p>
    <w:p>
      <w:r>
        <w:t>本文件规定了无人侦察机的改进方案要求。</w:t>
      </w:r>
    </w:p>
    <w:p/>
    <w:p>
      <w:pPr>
        <w:pStyle w:val="Heading2"/>
      </w:pPr>
      <w:r>
        <w:t>二、引用标准</w:t>
      </w:r>
    </w:p>
    <w:p>
      <w:r>
        <w:t>- GJB 899A-2009</w:t>
      </w:r>
    </w:p>
    <w:p>
      <w:r>
        <w:t>- GJB 1362A-2007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防护等级：IP67</w:t>
      </w:r>
    </w:p>
    <w:p>
      <w:r>
        <w:t>- 探测距离：60 km</w:t>
      </w:r>
    </w:p>
    <w:p>
      <w:r>
        <w:t>- 输出功率：50 W</w:t>
      </w:r>
    </w:p>
    <w:p>
      <w:r>
        <w:t>- MTBF：500 h</w:t>
      </w:r>
    </w:p>
    <w:p>
      <w:r>
        <w:t>- 工作频段：8-12 GHz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