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后勤保障·战场救护 技术文档</w:t>
      </w:r>
    </w:p>
    <w:p/>
    <w:p>
      <w:r>
        <w:t>**文件编号：** GJB-E590-026-2024</w:t>
      </w:r>
    </w:p>
    <w:p>
      <w:r>
        <w:t>**主题分类：** 后勤保障 / Logistics Support</w:t>
      </w:r>
    </w:p>
    <w:p>
      <w:r>
        <w:t>**子主题：** 战场救护</w:t>
      </w:r>
    </w:p>
    <w:p>
      <w:r>
        <w:t>**密级：** 内部</w:t>
      </w:r>
    </w:p>
    <w:p>
      <w:r>
        <w:t>**编制日期：** 2024年03月27日</w:t>
      </w:r>
    </w:p>
    <w:p/>
    <w:p>
      <w:pPr>
        <w:pStyle w:val="Heading2"/>
      </w:pPr>
      <w:r>
        <w:t>第一章 概述</w:t>
      </w:r>
    </w:p>
    <w:p/>
    <w:p>
      <w:r>
        <w:t>本文档针对后勤保障领域中的战场救护进行系统性阐述。战场救护是后勤保障技术体系的重要组成部分，对于提升装备作战效能具有关键作用。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随着现代战争形态的演变，后勤保障技术已成为信息化条件下作战能力的重要支撑。战场救护作为后勤保障的核心环节，直接影响装备的实战性能和可靠性。根据GJB 9001C-2017质量管理体系要求，必须对战场救护进行规范化管理。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柴油（油料类）：-10号/0号 升，依据50000</w:t>
      </w:r>
    </w:p>
    <w:p>
      <w:r>
        <w:t>- 汽油（油料类）：95号 升，依据20000</w:t>
      </w:r>
    </w:p>
    <w:p>
      <w:r>
        <w:t>- 航空煤油（油料类）：RP-3 升，依据100000</w:t>
      </w:r>
    </w:p>
    <w:p>
      <w:r>
        <w:t>- 125mm榴弹（弹药类）：杀爆弹 发，依据200</w:t>
      </w:r>
    </w:p>
    <w:p>
      <w:r>
        <w:t>- 155mm榴弹（弹药类）：底排弹 发，依据500</w:t>
      </w:r>
    </w:p>
    <w:p/>
    <w:p>
      <w:pPr>
        <w:pStyle w:val="Heading2"/>
      </w:pPr>
      <w:r>
        <w:t>第三章 战场救护技术详述</w:t>
      </w:r>
    </w:p>
    <w:p/>
    <w:p>
      <w:pPr>
        <w:pStyle w:val="Heading3"/>
      </w:pPr>
      <w:r>
        <w:t>3.1 战场救护的基本原理</w:t>
      </w:r>
    </w:p>
    <w:p/>
    <w:p>
      <w:r>
        <w:t>战场救护是后勤保障技术中的关键环节。在现代信息化战场条件下，其技术水平和运用能力直接决定了装备体系的整体作战效能。本节从原理层面进行系统阐述。</w:t>
      </w:r>
    </w:p>
    <w:p/>
    <w:p>
      <w:r>
        <w:t>后勤战场救护是保障部队持续作战能力的基础。现代战争对后勤保障提出了精确化、快速化和信息化的要求。建立科学高效的战场救护体系是后勤建设的重要内容。</w:t>
      </w:r>
    </w:p>
    <w:p/>
    <w:p>
      <w:r>
        <w:t>物资储备遵循'前方少储、后方多储、梯次配置'的原则。战备物资储备量按照27个基数计算，确保满足85日作战需要。库存周转率不低于111%，避免物资积压和过期浪费。</w:t>
      </w:r>
    </w:p>
    <w:p/>
    <w:p>
      <w:r>
        <w:t>运输保障采用公路、铁路、航空和海运相结合的方式。优先级分为紧急（52小时内送达）、优先（12小时内）和常规（24小时内）。运用物流优化算法规划运输路线，降低运输成本41%。</w:t>
      </w:r>
    </w:p>
    <w:p/>
    <w:p>
      <w:pPr>
        <w:pStyle w:val="Heading3"/>
      </w:pPr>
      <w:r>
        <w:t>3.2 战场救护的技术参数要求</w:t>
      </w:r>
    </w:p>
    <w:p/>
    <w:p>
      <w:r>
        <w:t>根据相关国军标要求，战场救护须满足以下技术参数：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MTBF：不低于400小时（按GJB 899A-2009验证）</w:t>
      </w:r>
    </w:p>
    <w:p>
      <w:r>
        <w:t>- MTTR：不超过3小时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上电自检：系统自动执行BIT检测，约21秒完成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环境检查：工作温度在-14°C至76°C范围内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校准测量基准，偏差不超过±2%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校准频率源，频率偏差不超过±76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训练课时：32学时</w:t>
      </w:r>
    </w:p>
    <w:p>
      <w:r>
        <w:t>训练对象：后勤保障相关专业士兵和士官</w:t>
      </w:r>
    </w:p>
    <w:p>
      <w:r>
        <w:t>训练内容：</w:t>
      </w:r>
    </w:p>
    <w:p>
      <w:r>
        <w:t>- 理论学习：战场救护基本原理，52学时</w:t>
      </w:r>
    </w:p>
    <w:p>
      <w:r>
        <w:t>- 实操训练：设备操作规程，78学时</w:t>
      </w:r>
    </w:p>
    <w:p>
      <w:r>
        <w:t>- 故障排除：常见故障判断与处理，26学时</w:t>
      </w:r>
    </w:p>
    <w:p>
      <w:r>
        <w:t>- 综合演练：实战条件下操作考核，52学时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补充技术资料（战场救护专题 #26）</w:t>
      </w:r>
    </w:p>
    <w:p/>
    <w:p>
      <w:r>
        <w:t>在实际作战运用中，后勤保障领域的战场救护需要特别关注以下技术要点。首先，装备的可靠性直接影响任务完成率。统计数据显示，经过规范维护的装备，任务成功率可达91%以上，而缺乏维护的装备成功率仅为71%。因此，严格执行维护规程是保障装备战备完好率的关键措施。</w:t>
      </w:r>
    </w:p>
    <w:p/>
    <w:p>
      <w:r>
        <w:t>在联合训练中，后勤保障领域战场救护的协同运用展现了良好的效果。多平台信息共享使态势感知时间缩短了46%，决策响应速度提高了21%。下一步将重点优化数据融合算法，进一步提升系统的智能化水平和自主决策能力。</w:t>
      </w:r>
    </w:p>
    <w:p/>
    <w:p>
      <w:r>
        <w:t>根据部队训练和演习的反馈数据，战场救护相关装备在高温环境下（环境温度+50°C）连续工作10小时后，性能下降不超过5%。在低温环境下（-30°C），启动时间延长至正常值的4倍，需提前预热4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26类关键特征。</w:t>
      </w:r>
    </w:p>
    <w:p/>
    <w:p>
      <w:r>
        <w:t>装备技术状态监测是战场救护管理的重要手段。通过在线监测系统，可实时采集温度、振动、电流等16项参数。当参数偏离基准值超过11%时，系统自动发出预警信号。趋势分析可提前19天预测潜在故障，为预防性维修提供决策支持。</w:t>
      </w:r>
    </w:p>
    <w:p/>
    <w:p>
      <w:r>
        <w:t>国际军事技术交流中，后勤保障领域战场救护的发展趋势备受关注。主要军事强国均加大了在该领域的研发投入，年均增长率超过7%。智能化、网络化和模块化是未来的主要发展方向。我方需持续跟踪前沿技术发展，加快自主创新步伐。</w:t>
      </w:r>
    </w:p>
    <w:p/>
    <w:p>
      <w:r>
        <w:t>备件储备是确保战场救护装备持续运行的重要保障。根据故障率统计分析，易损件更换周期为：密封件5个月、滤芯3个月、继电器8个月。关键备件的储备量应不低于4个月的消耗量，紧急采购渠道响应时间不超过50小时。</w:t>
      </w:r>
    </w:p>
    <w:p/>
    <w:p>
      <w:r>
        <w:t>装备论证阶段的效费比分析是战场救护装备采办决策的重要依据。全寿命费用(LCC)包括研制费、采购费、使用保障费和退役处置费。其中使用保障费约占总费用的66%，是费用控制的重点。可靠性提升投资回报率通常在26:29以上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