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导弹武器·引信系统 技术文档</w:t>
      </w:r>
    </w:p>
    <w:p/>
    <w:p>
      <w:r>
        <w:t>**文件编号：** GJB-E5AF-004-2024</w:t>
      </w:r>
    </w:p>
    <w:p>
      <w:r>
        <w:t>**主题分类：** 导弹武器 / Missile Weapons</w:t>
      </w:r>
    </w:p>
    <w:p>
      <w:r>
        <w:t>**子主题：** 引信系统</w:t>
      </w:r>
    </w:p>
    <w:p>
      <w:r>
        <w:t>**密级：** 内部</w:t>
      </w:r>
    </w:p>
    <w:p>
      <w:r>
        <w:t>**编制日期：** 2024年05月05日</w:t>
      </w:r>
    </w:p>
    <w:p/>
    <w:p>
      <w:pPr>
        <w:pStyle w:val="Heading2"/>
      </w:pPr>
      <w:r>
        <w:t>第一章 概述</w:t>
      </w:r>
    </w:p>
    <w:p/>
    <w:p>
      <w:r>
        <w:t>本文档针对导弹武器领域中的引信系统进行系统性阐述。引信系统是导弹武器技术体系的重要组成部分，对于提升装备作战效能具有关键作用。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随着现代战争形态的演变，导弹武器技术已成为信息化条件下作战能力的重要支撑。引信系统作为导弹武器的核心环节，直接影响装备的实战性能和可靠性。根据GJB 9001C-2017质量管理体系要求，必须对引信系统进行规范化管理。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射程（HQ-9B）：200 km，依据GJB 5309-2004</w:t>
      </w:r>
    </w:p>
    <w:p>
      <w:r>
        <w:t>- 射高（HQ-9B）：0.5-30 km，依据GJB 5309-2004</w:t>
      </w:r>
    </w:p>
    <w:p>
      <w:r>
        <w:t>- 最大速度（HQ-9B）：4.2 Ma，依据出厂检验</w:t>
      </w:r>
    </w:p>
    <w:p>
      <w:r>
        <w:t>- 制导方式（HQ-9B）：惯导+中继+末制导 ，依据GJB 5309-2004</w:t>
      </w:r>
    </w:p>
    <w:p>
      <w:r>
        <w:t>- 战斗部（HQ-9B）：180 kg，依据设计指标</w:t>
      </w:r>
    </w:p>
    <w:p/>
    <w:p>
      <w:pPr>
        <w:pStyle w:val="Heading2"/>
      </w:pPr>
      <w:r>
        <w:t>第三章 引信系统技术详述</w:t>
      </w:r>
    </w:p>
    <w:p/>
    <w:p>
      <w:pPr>
        <w:pStyle w:val="Heading3"/>
      </w:pPr>
      <w:r>
        <w:t>3.1 引信系统的基本原理</w:t>
      </w:r>
    </w:p>
    <w:p/>
    <w:p>
      <w:r>
        <w:t>引信系统是导弹武器技术中的关键环节。在现代信息化战场条件下，其技术水平和运用能力直接决定了装备体系的整体作战效能。本节从原理层面进行系统阐述。</w:t>
      </w:r>
    </w:p>
    <w:p/>
    <w:p>
      <w:r>
        <w:t>导弹引信系统的技术水平决定了导弹的精确打击能力。复合制导体制的采用有效提高了抗干扰能力和命中精度。制导精度CEP（圆概率误差）是衡量制导系统性能的核心指标。</w:t>
      </w:r>
    </w:p>
    <w:p/>
    <w:p>
      <w:r>
        <w:t>固体火箭发动机具有结构简单、反应快速的优点，推力可达120kN。推进剂选型需综合考虑比冲、密度比冲和贮存性能。HTPB复合推进剂是目前主流选择，理论比冲约250秒。</w:t>
      </w:r>
    </w:p>
    <w:p/>
    <w:p>
      <w:r>
        <w:t>导弹战斗部设计需考虑目标特性和毁伤要求。破片式战斗部有效杀伤半径与装药量和破片初速有关，通常以破片动能88J作为有效杀伤判据。</w:t>
      </w:r>
    </w:p>
    <w:p/>
    <w:p>
      <w:pPr>
        <w:pStyle w:val="Heading3"/>
      </w:pPr>
      <w:r>
        <w:t>3.2 引信系统的技术参数要求</w:t>
      </w:r>
    </w:p>
    <w:p/>
    <w:p>
      <w:r>
        <w:t>根据相关国军标要求，引信系统须满足以下技术参数：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上电自检：系统自动执行BIT检测，约19秒完成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环境检查：工作温度在-36°C至54°C范围内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校准频率源，频率偏差不超过±54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