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导弹武器·舵面控制 技术文档</w:t>
      </w:r>
    </w:p>
    <w:p/>
    <w:p>
      <w:r>
        <w:t>**文件编号：** GJB-E5AF-029-2024</w:t>
      </w:r>
    </w:p>
    <w:p>
      <w:r>
        <w:t>**主题分类：** 导弹武器 / Missile Weapons</w:t>
      </w:r>
    </w:p>
    <w:p>
      <w:r>
        <w:t>**子主题：** 舵面控制</w:t>
      </w:r>
    </w:p>
    <w:p>
      <w:r>
        <w:t>**密级：** 内部</w:t>
      </w:r>
    </w:p>
    <w:p>
      <w:r>
        <w:t>**编制日期：** 2024年06月02日</w:t>
      </w:r>
    </w:p>
    <w:p/>
    <w:p>
      <w:pPr>
        <w:pStyle w:val="Heading2"/>
      </w:pPr>
      <w:r>
        <w:t>第一章 概述</w:t>
      </w:r>
    </w:p>
    <w:p/>
    <w:p>
      <w:r>
        <w:t>本文档针对导弹武器领域中的舵面控制进行系统性阐述。舵面控制是导弹武器技术体系的重要组成部分，对于提升装备作战效能具有关键作用。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随着现代战争形态的演变，导弹武器技术已成为信息化条件下作战能力的重要支撑。舵面控制作为导弹武器的核心环节，直接影响装备的实战性能和可靠性。根据GJB 9001C-2017质量管理体系要求，必须对舵面控制进行规范化管理。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射程（HQ-9B）：200 km，依据GJB 5309-2004</w:t>
      </w:r>
    </w:p>
    <w:p>
      <w:r>
        <w:t>- 射高（HQ-9B）：0.5-30 km，依据GJB 5309-2004</w:t>
      </w:r>
    </w:p>
    <w:p>
      <w:r>
        <w:t>- 最大速度（HQ-9B）：4.2 Ma，依据出厂检验</w:t>
      </w:r>
    </w:p>
    <w:p>
      <w:r>
        <w:t>- 制导方式（HQ-9B）：惯导+中继+末制导 ，依据GJB 5309-2004</w:t>
      </w:r>
    </w:p>
    <w:p>
      <w:r>
        <w:t>- 战斗部（HQ-9B）：180 kg，依据设计指标</w:t>
      </w:r>
    </w:p>
    <w:p/>
    <w:p>
      <w:pPr>
        <w:pStyle w:val="Heading2"/>
      </w:pPr>
      <w:r>
        <w:t>第三章 舵面控制技术详述</w:t>
      </w:r>
    </w:p>
    <w:p/>
    <w:p>
      <w:pPr>
        <w:pStyle w:val="Heading3"/>
      </w:pPr>
      <w:r>
        <w:t>3.1 舵面控制的基本原理</w:t>
      </w:r>
    </w:p>
    <w:p/>
    <w:p>
      <w:r>
        <w:t>舵面控制是导弹武器技术中的关键环节。在现代信息化战场条件下，其技术水平和运用能力直接决定了装备体系的整体作战效能。本节从原理层面进行系统阐述。</w:t>
      </w:r>
    </w:p>
    <w:p/>
    <w:p>
      <w:r>
        <w:t>导弹舵面控制的技术水平决定了导弹的精确打击能力。复合制导体制的采用有效提高了抗干扰能力和命中精度。制导精度CEP（圆概率误差）是衡量制导系统性能的核心指标。</w:t>
      </w:r>
    </w:p>
    <w:p/>
    <w:p>
      <w:r>
        <w:t>固体火箭发动机具有结构简单、反应快速的优点，推力可达245kN。推进剂选型需综合考虑比冲、密度比冲和贮存性能。HTPB复合推进剂是目前主流选择，理论比冲约250秒。</w:t>
      </w:r>
    </w:p>
    <w:p/>
    <w:p>
      <w:r>
        <w:t>导弹战斗部设计需考虑目标特性和毁伤要求。破片式战斗部有效杀伤半径与装药量和破片初速有关，通常以破片动能138J作为有效杀伤判据。</w:t>
      </w:r>
    </w:p>
    <w:p/>
    <w:p>
      <w:pPr>
        <w:pStyle w:val="Heading3"/>
      </w:pPr>
      <w:r>
        <w:t>3.2 舵面控制的技术参数要求</w:t>
      </w:r>
    </w:p>
    <w:p/>
    <w:p>
      <w:r>
        <w:t>根据相关国军标要求，舵面控制须满足以下技术参数：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MTBF：不低于700小时（按GJB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上电自检：系统自动执行BIT检测，约24秒完成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环境检查：工作温度在-11°C至79°C范围内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校准测量基准，偏差不超过±5%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校准频率源，频率偏差不超过±79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训练课时：24学时</w:t>
      </w:r>
    </w:p>
    <w:p>
      <w:r>
        <w:t>训练对象：导弹武器相关专业士兵和士官</w:t>
      </w:r>
    </w:p>
    <w:p>
      <w:r>
        <w:t>训练内容：</w:t>
      </w:r>
    </w:p>
    <w:p>
      <w:r>
        <w:t>- 理论学习：舵面控制基本原理，58学时</w:t>
      </w:r>
    </w:p>
    <w:p>
      <w:r>
        <w:t>- 实操训练：设备操作规程，87学时</w:t>
      </w:r>
    </w:p>
    <w:p>
      <w:r>
        <w:t>- 故障排除：常见故障判断与处理，29学时</w:t>
      </w:r>
    </w:p>
    <w:p>
      <w:r>
        <w:t>- 综合演练：实战条件下操作考核，58学时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补充技术资料（舵面控制专题 #29）</w:t>
      </w:r>
    </w:p>
    <w:p/>
    <w:p>
      <w:r>
        <w:t>备件储备是确保舵面控制装备持续运行的重要保障。根据故障率统计分析，易损件更换周期为：密封件8个月、滤芯3个月、继电器11个月。关键备件的储备量应不低于4个月的消耗量，紧急采购渠道响应时间不超过53小时。</w:t>
      </w:r>
    </w:p>
    <w:p/>
    <w:p>
      <w:r>
        <w:t>装备论证阶段的效费比分析是舵面控制装备采办决策的重要依据。全寿命费用(LCC)包括研制费、采购费、使用保障费和退役处置费。其中使用保障费约占总费用的69%，是费用控制的重点。可靠性提升投资回报率通常在29:32以上。</w:t>
      </w:r>
    </w:p>
    <w:p/>
    <w:p>
      <w:r>
        <w:t>从装备全寿命管理角度看，舵面控制相关的技术资料管理同样重要。技术说明书、维修手册和零部件目录须保持最新版本。每次技术改进后，应在4个工作日内完成技术资料的更新和分发。电子化资料管理系统的推广应用，使资料检索效率提升了69%。</w:t>
      </w:r>
    </w:p>
    <w:p/>
    <w:p>
      <w:r>
        <w:t>装备试验与评价是验证舵面控制技术指标的重要手段。定型试验包括环境适应性试验、电磁兼容性试验、可靠性试验等12大类。部队试用期间需收集不少于11个月的使用数据。试验结果的评价采用定量与定性相结合的方法，确保评价的全面性和客观性。</w:t>
      </w:r>
    </w:p>
    <w:p/>
    <w:p>
      <w:r>
        <w:t>质量控制方面，舵面控制的检验分为进货检验、过程检验和最终检验三个环节。进货检验按GJB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舵面控制保障效率的重要途径。通过物联网技术实现装备状态的实时感知，采集频率不低于29次/分钟。保障信息系统与指挥信息系统的互联互通，使保障决策时间缩短了59%。下一步将推广智能仓储和自动分拣技术，进一步提升保障效能。</w:t>
      </w:r>
    </w:p>
    <w:p/>
    <w:p>
      <w:r>
        <w:t>装备退役处置也需要遵守舵面控制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导弹武器领域的舵面控制需要特别关注以下技术要点。首先，装备的可靠性直接影响任务完成率。统计数据显示，经过规范维护的装备，任务成功率可达94%以上，而缺乏维护的装备成功率仅为74%。因此，严格执行维护规程是保障装备战备完好率的关键措施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