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电子对抗·功率管理 技术文档</w:t>
      </w:r>
    </w:p>
    <w:p/>
    <w:p>
      <w:r>
        <w:t>**文件编号：** GJB-E794-023-2024</w:t>
      </w:r>
    </w:p>
    <w:p>
      <w:r>
        <w:t>**主题分类：** 电子对抗 / Electronic Warfare</w:t>
      </w:r>
    </w:p>
    <w:p>
      <w:r>
        <w:t>**子主题：** 功率管理</w:t>
      </w:r>
    </w:p>
    <w:p>
      <w:r>
        <w:t>**密级：** 内部</w:t>
      </w:r>
    </w:p>
    <w:p>
      <w:r>
        <w:t>**编制日期：** 2024年12月24日</w:t>
      </w:r>
    </w:p>
    <w:p/>
    <w:p>
      <w:pPr>
        <w:pStyle w:val="Heading2"/>
      </w:pPr>
      <w:r>
        <w:t>第一章 概述</w:t>
      </w:r>
    </w:p>
    <w:p/>
    <w:p>
      <w:r>
        <w:t>本文档针对电子对抗领域中的功率管理进行系统性阐述。功率管理是电子对抗技术体系的重要组成部分，对于提升装备作战效能具有关键作用。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随着现代战争形态的演变，电子对抗技术已成为信息化条件下作战能力的重要支撑。功率管理作为电子对抗的核心环节，直接影响装备的实战性能和可靠性。根据GJB 9001C-2017质量管理体系要求，必须对功率管理进行规范化管理。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频段覆盖（ECM-2000）：0.5-18 GHz，依据GJB 7866-2012</w:t>
      </w:r>
    </w:p>
    <w:p>
      <w:r>
        <w:t>- 灵敏度（ECM-2000）：-90 dBm，依据GJB 7866-2012</w:t>
      </w:r>
    </w:p>
    <w:p>
      <w:r>
        <w:t>- 动态范围（ECM-2000）：70 dB，依据出厂检验</w:t>
      </w:r>
    </w:p>
    <w:p>
      <w:r>
        <w:t>- 测向精度（ECM-2000）：2 度(RMS)，依据GJB 7866-2012</w:t>
      </w:r>
    </w:p>
    <w:p>
      <w:r>
        <w:t>- 干扰功率（ECM-2000）：500 W，依据设计指标</w:t>
      </w:r>
    </w:p>
    <w:p/>
    <w:p>
      <w:pPr>
        <w:pStyle w:val="Heading2"/>
      </w:pPr>
      <w:r>
        <w:t>第三章 功率管理技术详述</w:t>
      </w:r>
    </w:p>
    <w:p/>
    <w:p>
      <w:pPr>
        <w:pStyle w:val="Heading3"/>
      </w:pPr>
      <w:r>
        <w:t>3.1 功率管理的基本原理</w:t>
      </w:r>
    </w:p>
    <w:p/>
    <w:p>
      <w:r>
        <w:t>功率管理是电子对抗技术中的关键环节。在现代信息化战场条件下，其技术水平和运用能力直接决定了装备体系的整体作战效能。本节从原理层面进行系统阐述。</w:t>
      </w:r>
    </w:p>
    <w:p/>
    <w:p>
      <w:r>
        <w:t>电子对抗功率管理是信息化条件下夺取电磁频谱控制权的关键手段。随着电子技术的发展，电子对抗与反对抗的博弈日趋激烈。认知电子战概念的提出标志着电子对抗进入智能化时代。</w:t>
      </w:r>
    </w:p>
    <w:p/>
    <w:p>
      <w:r>
        <w:t>电子侦察系统的关键指标包括频率覆盖范围、灵敏度和动态范围。现代侦察接收机可覆盖0.5-40 GHz频段，灵敏度达到-90 dBm以上。高速数字信号处理使脉冲分选速度达到730万脉冲/秒。</w:t>
      </w:r>
    </w:p>
    <w:p/>
    <w:p>
      <w:r>
        <w:t>干扰效果评估(EA)采用干信比(JSR)作为主要衡量标准。对雷达的有效干扰一般要求JSR &gt; 33dB，对通信的压制干扰需要JSR &gt; 0dB，欺骗干扰则更注重信号的一致性。</w:t>
      </w:r>
    </w:p>
    <w:p/>
    <w:p>
      <w:pPr>
        <w:pStyle w:val="Heading3"/>
      </w:pPr>
      <w:r>
        <w:t>3.2 功率管理的技术参数要求</w:t>
      </w:r>
    </w:p>
    <w:p/>
    <w:p>
      <w:r>
        <w:t>根据相关国军标要求，功率管理须满足以下技术参数：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环境检查：工作温度在-17°C至73°C范围内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训练对象：电子对抗相关专业士兵和士官</w:t>
      </w:r>
    </w:p>
    <w:p>
      <w:r>
        <w:t>训练内容：</w:t>
      </w:r>
    </w:p>
    <w:p>
      <w:r>
        <w:t>- 理论学习：功率管理基本原理，46学时</w:t>
      </w:r>
    </w:p>
    <w:p>
      <w:r>
        <w:t>- 实操训练：设备操作规程，69学时</w:t>
      </w:r>
    </w:p>
    <w:p>
      <w:r>
        <w:t>- 故障排除：常见故障判断与处理，23学时</w:t>
      </w:r>
    </w:p>
    <w:p>
      <w:r>
        <w:t>- 综合演练：实战条件下操作考核，46学时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补充技术资料（功率管理专题 #23）</w:t>
      </w:r>
    </w:p>
    <w:p/>
    <w:p>
      <w:r>
        <w:t>装备论证阶段的效费比分析是功率管理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功率管理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功率管理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质量控制方面，功率管理的检验分为进货检验、过程检验和最终检验三个环节。进货检验按GJB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功率管理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功率管理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电子对抗领域的功率管理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电子对抗领域功率管理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