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电子对抗·压制干扰 技术文档</w:t>
      </w:r>
    </w:p>
    <w:p/>
    <w:p>
      <w:r>
        <w:t>**文件编号：** GJB-E794-015-2024</w:t>
      </w:r>
    </w:p>
    <w:p>
      <w:r>
        <w:t>**主题分类：** 电子对抗 / Electronic Warfare</w:t>
      </w:r>
    </w:p>
    <w:p>
      <w:r>
        <w:t>**子主题：** 压制干扰</w:t>
      </w:r>
    </w:p>
    <w:p>
      <w:r>
        <w:t>**密级：** 内部</w:t>
      </w:r>
    </w:p>
    <w:p>
      <w:r>
        <w:t>**编制日期：** 2024年04月16日</w:t>
      </w:r>
    </w:p>
    <w:p/>
    <w:p>
      <w:pPr>
        <w:pStyle w:val="Heading2"/>
      </w:pPr>
      <w:r>
        <w:t>第一章 概述</w:t>
      </w:r>
    </w:p>
    <w:p/>
    <w:p>
      <w:r>
        <w:t>本文档针对电子对抗领域中的压制干扰进行系统性阐述。压制干扰是电子对抗技术体系的重要组成部分，对于提升装备作战效能具有关键作用。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随着现代战争形态的演变，电子对抗技术已成为信息化条件下作战能力的重要支撑。压制干扰作为电子对抗的核心环节，直接影响装备的实战性能和可靠性。根据GJB 9001C-2017质量管理体系要求，必须对压制干扰进行规范化管理。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频段覆盖（ECM-2000）：0.5-18 GHz，依据GJB 7866-2012</w:t>
      </w:r>
    </w:p>
    <w:p>
      <w:r>
        <w:t>- 灵敏度（ECM-2000）：-90 dBm，依据GJB 7866-2012</w:t>
      </w:r>
    </w:p>
    <w:p>
      <w:r>
        <w:t>- 动态范围（ECM-2000）：70 dB，依据出厂检验</w:t>
      </w:r>
    </w:p>
    <w:p>
      <w:r>
        <w:t>- 测向精度（ECM-2000）：2 度(RMS)，依据GJB 7866-2012</w:t>
      </w:r>
    </w:p>
    <w:p>
      <w:r>
        <w:t>- 干扰功率（ECM-2000）：500 W，依据设计指标</w:t>
      </w:r>
    </w:p>
    <w:p/>
    <w:p>
      <w:pPr>
        <w:pStyle w:val="Heading2"/>
      </w:pPr>
      <w:r>
        <w:t>第三章 压制干扰技术详述</w:t>
      </w:r>
    </w:p>
    <w:p/>
    <w:p>
      <w:pPr>
        <w:pStyle w:val="Heading3"/>
      </w:pPr>
      <w:r>
        <w:t>3.1 压制干扰的基本原理</w:t>
      </w:r>
    </w:p>
    <w:p/>
    <w:p>
      <w:r>
        <w:t>压制干扰是电子对抗技术中的关键环节。在现代信息化战场条件下，其技术水平和运用能力直接决定了装备体系的整体作战效能。本节从原理层面进行系统阐述。</w:t>
      </w:r>
    </w:p>
    <w:p/>
    <w:p>
      <w:r>
        <w:t>电子对抗压制干扰是信息化条件下夺取电磁频谱控制权的关键手段。随着电子技术的发展，电子对抗与反对抗的博弈日趋激烈。认知电子战概念的提出标志着电子对抗进入智能化时代。</w:t>
      </w:r>
    </w:p>
    <w:p/>
    <w:p>
      <w:r>
        <w:t>电子侦察系统的关键指标包括频率覆盖范围、灵敏度和动态范围。现代侦察接收机可覆盖0.5-40 GHz频段，灵敏度达到-90 dBm以上。高速数字信号处理使脉冲分选速度达到650万脉冲/秒。</w:t>
      </w:r>
    </w:p>
    <w:p/>
    <w:p>
      <w:r>
        <w:t>干扰效果评估(EA)采用干信比(JSR)作为主要衡量标准。对雷达的有效干扰一般要求JSR &gt; 25dB，对通信的压制干扰需要JSR &gt; 0dB，欺骗干扰则更注重信号的一致性。</w:t>
      </w:r>
    </w:p>
    <w:p/>
    <w:p>
      <w:pPr>
        <w:pStyle w:val="Heading3"/>
      </w:pPr>
      <w:r>
        <w:t>3.2 压制干扰的技术参数要求</w:t>
      </w:r>
    </w:p>
    <w:p/>
    <w:p>
      <w:r>
        <w:t>根据相关国军标要求，压制干扰须满足以下技术参数：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MTBF：不低于300小时（按GJB 899A-2009验证）</w:t>
      </w:r>
    </w:p>
    <w:p>
      <w:r>
        <w:t>- MTTR：不超过1小时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上电自检：系统自动执行BIT检测，约20秒完成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环境检查：工作温度在-25°C至65°C范围内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校准测量基准，偏差不超过±1%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校准频率源，频率偏差不超过±65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训练课时：40学时</w:t>
      </w:r>
    </w:p>
    <w:p>
      <w:r>
        <w:t>训练对象：电子对抗相关专业士兵和士官</w:t>
      </w:r>
    </w:p>
    <w:p>
      <w:r>
        <w:t>训练内容：</w:t>
      </w:r>
    </w:p>
    <w:p>
      <w:r>
        <w:t>- 理论学习：压制干扰基本原理，30学时</w:t>
      </w:r>
    </w:p>
    <w:p>
      <w:r>
        <w:t>- 实操训练：设备操作规程，45学时</w:t>
      </w:r>
    </w:p>
    <w:p>
      <w:r>
        <w:t>- 故障排除：常见故障判断与处理，15学时</w:t>
      </w:r>
    </w:p>
    <w:p>
      <w:r>
        <w:t>- 综合演练：实战条件下操作考核，30学时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第七章 安全注意事项</w:t>
      </w:r>
    </w:p>
    <w:p/>
    <w:p>
      <w:pPr>
        <w:pStyle w:val="Heading3"/>
      </w:pPr>
      <w:r>
        <w:t>7.1 人员安全</w:t>
      </w:r>
    </w:p>
    <w:p/>
    <w:p>
      <w:r>
        <w:t>操作电子对抗装备时必须遵守以下安全规定：</w:t>
      </w:r>
    </w:p>
    <w:p>
      <w:r>
        <w:t>1. 操作人员须经过专业培训并取得上岗资质</w:t>
      </w:r>
    </w:p>
    <w:p>
      <w:r>
        <w:t>2. 高压设备操作需两人协同，穿戴防护用具</w:t>
      </w:r>
    </w:p>
    <w:p>
      <w:r>
        <w:t>3. 发射状态下人员须退至安全距离以外</w:t>
      </w:r>
    </w:p>
    <w:p>
      <w:r>
        <w:t>4. 严禁在设备运行时进行未经授权的拆卸</w:t>
      </w:r>
    </w:p>
    <w:p>
      <w:r>
        <w:t>5. 发现异常立即按下紧急停止按钮并上报</w:t>
      </w:r>
    </w:p>
    <w:p/>
    <w:p>
      <w:pPr>
        <w:pStyle w:val="Heading3"/>
      </w:pPr>
      <w:r>
        <w:t>7.2 设备安全</w:t>
      </w:r>
    </w:p>
    <w:p/>
    <w:p>
      <w:r>
        <w:t>- 运输过程中必须使用专用减震包装</w:t>
      </w:r>
    </w:p>
    <w:p>
      <w:r>
        <w:t>- 存储环境温度：-30°C至+50°C</w:t>
      </w:r>
    </w:p>
    <w:p>
      <w:r>
        <w:t>- 相对湿度：不大于80%（无凝露）</w:t>
      </w:r>
    </w:p>
    <w:p>
      <w:r>
        <w:t>- 远离强电磁辐射源和腐蚀性气体</w:t>
      </w:r>
    </w:p>
    <w:p>
      <w:r>
        <w:t>- 定期通电检查，每季度不少于一次</w:t>
      </w:r>
    </w:p>
    <w:p/>
    <w:p>
      <w:pPr>
        <w:pStyle w:val="Heading3"/>
      </w:pPr>
      <w:r>
        <w:t>7.3 电磁安全</w:t>
      </w:r>
    </w:p>
    <w:p/>
    <w:p>
      <w:r>
        <w:t>- 严格按照频谱管理规定使用指定频段</w:t>
      </w:r>
    </w:p>
    <w:p>
      <w:r>
        <w:t>- 发射功率不得超过核定功率上限</w:t>
      </w:r>
    </w:p>
    <w:p>
      <w:r>
        <w:t>- 注意与其他电子设备的电磁兼容性</w:t>
      </w:r>
    </w:p>
    <w:p>
      <w:r>
        <w:t>- 电磁辐射防护按GJB 5313-2004执行</w:t>
      </w:r>
    </w:p>
    <w:p/>
    <w:p>
      <w:pPr>
        <w:pStyle w:val="Heading3"/>
      </w:pPr>
      <w:r>
        <w:t>7.4 应急处理</w:t>
      </w:r>
    </w:p>
    <w:p/>
    <w:p>
      <w:r>
        <w:t>遇到以下紧急情况时的处理程序：</w:t>
      </w:r>
    </w:p>
    <w:p>
      <w:r>
        <w:t>- 火情：立即断电，使用CO₂灭火器，报告上级</w:t>
      </w:r>
    </w:p>
    <w:p>
      <w:r>
        <w:t>- 漏电：切断总电源，隔离危险区域，通知维修人员</w:t>
      </w:r>
    </w:p>
    <w:p>
      <w:r>
        <w:t>- 辐射超标：立即撤离，设置警戒区，通知防化部门</w:t>
      </w:r>
    </w:p>
    <w:p>
      <w:r>
        <w:t>- 数据异常：暂停操作，记录现象，技术分析原因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补充技术资料（压制干扰专题 #15）</w:t>
      </w:r>
    </w:p>
    <w:p/>
    <w:p>
      <w:r>
        <w:t>装备技术状态监测是压制干扰管理的重要手段。通过在线监测系统，可实时采集温度、振动、电流等15项参数。当参数偏离基准值超过10%时，系统自动发出预警信号。趋势分析可提前8天预测潜在故障，为预防性维修提供决策支持。</w:t>
      </w:r>
    </w:p>
    <w:p/>
    <w:p>
      <w:r>
        <w:t>国际军事技术交流中，电子对抗领域压制干扰的发展趋势备受关注。主要军事强国均加大了在该领域的研发投入，年均增长率超过12%。智能化、网络化和模块化是未来的主要发展方向。我方需持续跟踪前沿技术发展，加快自主创新步伐。</w:t>
      </w:r>
    </w:p>
    <w:p/>
    <w:p>
      <w:r>
        <w:t>备件储备是确保压制干扰装备持续运行的重要保障。根据故障率统计分析，易损件更换周期为：密封件6个月、滤芯1个月、继电器9个月。关键备件的储备量应不低于2个月的消耗量，紧急采购渠道响应时间不超过39小时。</w:t>
      </w:r>
    </w:p>
    <w:p/>
    <w:p>
      <w:r>
        <w:t>装备论证阶段的效费比分析是压制干扰装备采办决策的重要依据。全寿命费用(LCC)包括研制费、采购费、使用保障费和退役处置费。其中使用保障费约占总费用的55%，是费用控制的重点。可靠性提升投资回报率通常在15:18以上。</w:t>
      </w:r>
    </w:p>
    <w:p/>
    <w:p>
      <w:r>
        <w:t>从装备全寿命管理角度看，压制干扰相关的技术资料管理同样重要。技术说明书、维修手册和零部件目录须保持最新版本。每次技术改进后，应在4个工作日内完成技术资料的更新和分发。电子化资料管理系统的推广应用，使资料检索效率提升了55%。</w:t>
      </w:r>
    </w:p>
    <w:p/>
    <w:p>
      <w:r>
        <w:t>装备试验与评价是验证压制干扰技术指标的重要手段。定型试验包括环境适应性试验、电磁兼容性试验、可靠性试验等8大类。部队试用期间需收集不少于9个月的使用数据。试验结果的评价采用定量与定性相结合的方法，确保评价的全面性和客观性。</w:t>
      </w:r>
    </w:p>
    <w:p/>
    <w:p>
      <w:r>
        <w:t>质量控制方面，压制干扰的检验分为进货检验、过程检验和最终检验三个环节。进货检验按GJB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2828.1正常检验一次抽样。过程检验实行首件检验制度，关键工序实行100%检验。最终检验需完成全部性能测试项目，合格判定数AQL值为1%。</w:t>
      </w:r>
    </w:p>
    <w:p/>
    <w:p>
      <w:r>
        <w:t>装备保障信息化建设是提升压制干扰保障效率的重要途径。通过物联网技术实现装备状态的实时感知，采集频率不低于15次/分钟。保障信息系统与指挥信息系统的互联互通，使保障决策时间缩短了45%。下一步将推广智能仓储和自动分拣技术，进一步提升保障效能。</w:t>
      </w:r>
    </w:p>
    <w:p/>
    <w:p>
      <w:r>
        <w:t>装备退役处置也需要遵守压制干扰相关规程。涉密装备的退役须经保密审查，关键部件拆卸后须在指定场所销毁。存储介质须经过物理粉碎处理，确保无法恢复。退役装备的处置记录须保存不少于10年。这些措施确保敏感技术信息不会泄露。</w:t>
      </w:r>
    </w:p>
    <w:p/>
    <w:p>
      <w:r>
        <w:t>在实际作战运用中，电子对抗领域的压制干扰需要特别关注以下技术要点。首先，装备的可靠性直接影响任务完成率。统计数据显示，经过规范维护的装备，任务成功率可达90%以上，而缺乏维护的装备成功率仅为60%。因此，严格执行维护规程是保障装备战备完好率的关键措施。</w:t>
      </w:r>
    </w:p>
    <w:p/>
    <w:p>
      <w:r>
        <w:t>在联合训练中，电子对抗领域压制干扰的协同运用展现了良好的效果。多平台信息共享使态势感知时间缩短了35%，决策响应速度提高了30%。下一步将重点优化数据融合算法，进一步提升系统的智能化水平和自主决策能力。</w:t>
      </w:r>
    </w:p>
    <w:p/>
    <w:p>
      <w:r>
        <w:t>根据部队训练和演习的反馈数据，压制干扰相关装备在高温环境下（环境温度+50°C）连续工作15小时后，性能下降不超过5%。在低温环境下（-30°C），启动时间延长至正常值的2倍，需提前预热3分钟。这些数据为装备使用提供了重要的参考依据。</w:t>
      </w:r>
    </w:p>
    <w:p/>
    <w:p/>
    <w:p>
      <w:pPr>
        <w:pStyle w:val="Heading2"/>
      </w:pPr>
      <w:r>
        <w:t>补充技术资料（压制干扰专题 #25）</w:t>
      </w:r>
    </w:p>
    <w:p/>
    <w:p>
      <w:r>
        <w:t>装备保障信息化建设是提升压制干扰保障效率的重要途径。通过物联网技术实现装备状态的实时感知，采集频率不低于25次/分钟。保障信息系统与指挥信息系统的互联互通，使保障决策时间缩短了55%。下一步将推广智能仓储和自动分拣技术，进一步提升保障效能。</w:t>
      </w:r>
    </w:p>
    <w:p/>
    <w:p>
      <w:r>
        <w:t>装备退役处置也需要遵守压制干扰相关规程。涉密装备的退役须经保密审查，关键部件拆卸后须在指定场所销毁。存储介质须经过物理粉碎处理，确保无法恢复。退役装备的处置记录须保存不少于10年。这些措施确保敏感技术信息不会泄露。</w:t>
      </w:r>
    </w:p>
    <w:p/>
    <w:p>
      <w:r>
        <w:t>在实际作战运用中，电子对抗领域的压制干扰需要特别关注以下技术要点。首先，装备的可靠性直接影响任务完成率。统计数据显示，经过规范维护的装备，任务成功率可达90%以上，而缺乏维护的装备成功率仅为70%。因此，严格执行维护规程是保障装备战备完好率的关键措施。</w:t>
      </w:r>
    </w:p>
    <w:p/>
    <w:p>
      <w:r>
        <w:t>在联合训练中，电子对抗领域压制干扰的协同运用展现了良好的效果。多平台信息共享使态势感知时间缩短了45%，决策响应速度提高了20%。下一步将重点优化数据融合算法，进一步提升系统的智能化水平和自主决策能力。</w:t>
      </w:r>
    </w:p>
    <w:p/>
    <w:p>
      <w:r>
        <w:t>根据部队训练和演习的反馈数据，压制干扰相关装备在高温环境下（环境温度+50°C）连续工作9小时后，性能下降不超过5%。在低温环境下（-30°C），启动时间延长至正常值的3倍，需提前预热3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25类关键特征。</w:t>
      </w:r>
    </w:p>
    <w:p/>
    <w:p>
      <w:r>
        <w:t>装备技术状态监测是压制干扰管理的重要手段。通过在线监测系统，可实时采集温度、振动、电流等15项参数。当参数偏离基准值超过10%时，系统自动发出预警信号。趋势分析可提前18天预测潜在故障，为预防性维修提供决策支持。</w:t>
      </w:r>
    </w:p>
    <w:p/>
    <w:p>
      <w:r>
        <w:t>国际军事技术交流中，电子对抗领域压制干扰的发展趋势备受关注。主要军事强国均加大了在该领域的研发投入，年均增长率超过6%。智能化、网络化和模块化是未来的主要发展方向。我方需持续跟踪前沿技术发展，加快自主创新步伐。</w:t>
      </w:r>
    </w:p>
    <w:p/>
    <w:p>
      <w:r>
        <w:t>备件储备是确保压制干扰装备持续运行的重要保障。根据故障率统计分析，易损件更换周期为：密封件4个月、滤芯2个月、继电器7个月。关键备件的储备量应不低于3个月的消耗量，紧急采购渠道响应时间不超过49小时。</w:t>
      </w:r>
    </w:p>
    <w:p/>
    <w:p>
      <w:r>
        <w:t>装备论证阶段的效费比分析是压制干扰装备采办决策的重要依据。全寿命费用(LCC)包括研制费、采购费、使用保障费和退役处置费。其中使用保障费约占总费用的65%，是费用控制的重点。可靠性提升投资回报率通常在25:28以上。</w:t>
      </w:r>
    </w:p>
    <w:p/>
    <w:p>
      <w:r>
        <w:t>从装备全寿命管理角度看，压制干扰相关的技术资料管理同样重要。技术说明书、维修手册和零部件目录须保持最新版本。每次技术改进后，应在7个工作日内完成技术资料的更新和分发。电子化资料管理系统的推广应用，使资料检索效率提升了65%。</w:t>
      </w:r>
    </w:p>
    <w:p/>
    <w:p>
      <w:r>
        <w:t>装备试验与评价是验证压制干扰技术指标的重要手段。定型试验包括环境适应性试验、电磁兼容性试验、可靠性试验等8大类。部队试用期间需收集不少于7个月的使用数据。试验结果的评价采用定量与定性相结合的方法，确保评价的全面性和客观性。</w:t>
      </w:r>
    </w:p>
    <w:p/>
    <w:p/>
    <w:p>
      <w:pPr>
        <w:pStyle w:val="Heading2"/>
      </w:pPr>
      <w:r>
        <w:t>补充技术资料（压制干扰专题 #35）</w:t>
      </w:r>
    </w:p>
    <w:p/>
    <w:p>
      <w:r>
        <w:t>国际军事技术交流中，电子对抗领域压制干扰的发展趋势备受关注。主要军事强国均加大了在该领域的研发投入，年均增长率超过8%。智能化、网络化和模块化是未来的主要发展方向。我方需持续跟踪前沿技术发展，加快自主创新步伐。</w:t>
      </w:r>
    </w:p>
    <w:p/>
    <w:p>
      <w:r>
        <w:t>备件储备是确保压制干扰装备持续运行的重要保障。根据故障率统计分析，易损件更换周期为：密封件8个月、滤芯3个月、继电器17个月。关键备件的储备量应不低于4个月的消耗量，紧急采购渠道响应时间不超过59小时。</w:t>
      </w:r>
    </w:p>
    <w:p/>
    <w:p>
      <w:r>
        <w:t>装备论证阶段的效费比分析是压制干扰装备采办决策的重要依据。全寿命费用(LCC)包括研制费、采购费、使用保障费和退役处置费。其中使用保障费约占总费用的60%，是费用控制的重点。可靠性提升投资回报率通常在35:38以上。</w:t>
      </w:r>
    </w:p>
    <w:p/>
    <w:p>
      <w:r>
        <w:t>从装备全寿命管理角度看，压制干扰相关的技术资料管理同样重要。技术说明书、维修手册和零部件目录须保持最新版本。每次技术改进后，应在3个工作日内完成技术资料的更新和分发。电子化资料管理系统的推广应用，使资料检索效率提升了45%。</w:t>
      </w:r>
    </w:p>
    <w:p/>
    <w:p>
      <w:r>
        <w:t>装备试验与评价是验证压制干扰技术指标的重要手段。定型试验包括环境适应性试验、电磁兼容性试验、可靠性试验等8大类。部队试用期间需收集不少于11个月的使用数据。试验结果的评价采用定量与定性相结合的方法，确保评价的全面性和客观性。</w:t>
      </w:r>
    </w:p>
    <w:p/>
    <w:p>
      <w:r>
        <w:t>质量控制方面，压制干扰的检验分为进货检验、过程检验和最终检验三个环节。进货检验按GJB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压制干扰保障效率的重要途径。通过物联网技术实现装备状态的实时感知，采集频率不低于35次/分钟。保障信息系统与指挥信息系统的互联互通，使保障决策时间缩短了65%。下一步将推广智能仓储和自动分拣技术，进一步提升保障效能。</w:t>
      </w:r>
    </w:p>
    <w:p/>
    <w:p>
      <w:r>
        <w:t>装备退役处置也需要遵守压制干扰相关规程。涉密装备的退役须经保密审查，关键部件拆卸后须在指定场所销毁。存储介质须经过物理粉碎处理，确保无法恢复。退役装备的处置记录须保存不少于10年。这些措施确保敏感技术信息不会泄露。</w:t>
      </w:r>
    </w:p>
    <w:p/>
    <w:p>
      <w:r>
        <w:t>在实际作战运用中，电子对抗领域的压制干扰需要特别关注以下技术要点。首先，装备的可靠性直接影响任务完成率。统计数据显示，经过规范维护的装备，任务成功率可达90%以上，而缺乏维护的装备成功率仅为65%。因此，严格执行维护规程是保障装备战备完好率的关键措施。</w:t>
      </w:r>
    </w:p>
    <w:p/>
    <w:p>
      <w:r>
        <w:t>在联合训练中，电子对抗领域压制干扰的协同运用展现了良好的效果。多平台信息共享使态势感知时间缩短了25%，决策响应速度提高了30%。下一步将重点优化数据融合算法，进一步提升系统的智能化水平和自主决策能力。</w:t>
      </w:r>
    </w:p>
    <w:p/>
    <w:p>
      <w:r>
        <w:t>根据部队训练和演习的反馈数据，压制干扰相关装备在高温环境下（环境温度+50°C）连续工作11小时后，性能下降不超过5%。在低温环境下（-30°C），启动时间延长至正常值的4倍，需提前预热3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35类关键特征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