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电子对抗·威胁识别 技术文档</w:t>
      </w:r>
    </w:p>
    <w:p/>
    <w:p>
      <w:r>
        <w:t>**文件编号：** GJB-E794-020-2024</w:t>
      </w:r>
    </w:p>
    <w:p>
      <w:r>
        <w:t>**主题分类：** 电子对抗 / Electronic Warfare</w:t>
      </w:r>
    </w:p>
    <w:p>
      <w:r>
        <w:t>**子主题：** 威胁识别</w:t>
      </w:r>
    </w:p>
    <w:p>
      <w:r>
        <w:t>**密级：** 内部</w:t>
      </w:r>
    </w:p>
    <w:p>
      <w:r>
        <w:t>**编制日期：** 2024年09月21日</w:t>
      </w:r>
    </w:p>
    <w:p/>
    <w:p>
      <w:pPr>
        <w:pStyle w:val="Heading2"/>
      </w:pPr>
      <w:r>
        <w:t>第一章 概述</w:t>
      </w:r>
    </w:p>
    <w:p/>
    <w:p>
      <w:r>
        <w:t>本文档针对电子对抗领域中的威胁识别进行系统性阐述。威胁识别是电子对抗技术体系的重要组成部分，对于提升装备作战效能具有关键作用。</w:t>
      </w:r>
    </w:p>
    <w:p/>
    <w:p>
      <w:pPr>
        <w:pStyle w:val="Heading3"/>
      </w:pPr>
      <w:r>
        <w:t>1.1 背景与意义</w:t>
      </w:r>
    </w:p>
    <w:p/>
    <w:p>
      <w:r>
        <w:t>随着现代战争形态的演变，电子对抗技术已成为信息化条件下作战能力的重要支撑。威胁识别作为电子对抗的核心环节，直接影响装备的实战性能和可靠性。根据GJB 9001C-2017质量管理体系要求，必须对威胁识别进行规范化管理。</w:t>
      </w:r>
    </w:p>
    <w:p/>
    <w:p>
      <w:pPr>
        <w:pStyle w:val="Heading3"/>
      </w:pPr>
      <w:r>
        <w:t>1.2 适用范围</w:t>
      </w:r>
    </w:p>
    <w:p/>
    <w:p>
      <w:r>
        <w:t>本技术文档适用于以下单位和场景：</w:t>
      </w:r>
    </w:p>
    <w:p>
      <w:r>
        <w:t>- 装备研制生产单位的质量控制</w:t>
      </w:r>
    </w:p>
    <w:p>
      <w:r>
        <w:t>- 部队使用单位的操作维护指导</w:t>
      </w:r>
    </w:p>
    <w:p>
      <w:r>
        <w:t>- 院校教学训练的参考教材</w:t>
      </w:r>
    </w:p>
    <w:p>
      <w:r>
        <w:t>- 维修保障机构的技术依据</w:t>
      </w:r>
    </w:p>
    <w:p/>
    <w:p>
      <w:pPr>
        <w:pStyle w:val="Heading2"/>
      </w:pPr>
      <w:r>
        <w:t>第二章 技术参数与指标</w:t>
      </w:r>
    </w:p>
    <w:p/>
    <w:p>
      <w:pPr>
        <w:pStyle w:val="Heading3"/>
      </w:pPr>
      <w:r>
        <w:t>2.1 主要技术参数</w:t>
      </w:r>
    </w:p>
    <w:p/>
    <w:p>
      <w:r>
        <w:t>- 频段覆盖（ECM-2000）：0.5-18 GHz，依据GJB 7866-2012</w:t>
      </w:r>
    </w:p>
    <w:p>
      <w:r>
        <w:t>- 灵敏度（ECM-2000）：-90 dBm，依据GJB 7866-2012</w:t>
      </w:r>
    </w:p>
    <w:p>
      <w:r>
        <w:t>- 动态范围（ECM-2000）：70 dB，依据出厂检验</w:t>
      </w:r>
    </w:p>
    <w:p>
      <w:r>
        <w:t>- 测向精度（ECM-2000）：2 度(RMS)，依据GJB 7866-2012</w:t>
      </w:r>
    </w:p>
    <w:p>
      <w:r>
        <w:t>- 干扰功率（ECM-2000）：500 W，依据设计指标</w:t>
      </w:r>
    </w:p>
    <w:p/>
    <w:p>
      <w:pPr>
        <w:pStyle w:val="Heading2"/>
      </w:pPr>
      <w:r>
        <w:t>第三章 威胁识别技术详述</w:t>
      </w:r>
    </w:p>
    <w:p/>
    <w:p>
      <w:pPr>
        <w:pStyle w:val="Heading3"/>
      </w:pPr>
      <w:r>
        <w:t>3.1 威胁识别的基本原理</w:t>
      </w:r>
    </w:p>
    <w:p/>
    <w:p>
      <w:r>
        <w:t>威胁识别是电子对抗技术中的关键环节。在现代信息化战场条件下，其技术水平和运用能力直接决定了装备体系的整体作战效能。本节从原理层面进行系统阐述。</w:t>
      </w:r>
    </w:p>
    <w:p/>
    <w:p>
      <w:r>
        <w:t>电子对抗威胁识别是信息化条件下夺取电磁频谱控制权的关键手段。随着电子技术的发展，电子对抗与反对抗的博弈日趋激烈。认知电子战概念的提出标志着电子对抗进入智能化时代。</w:t>
      </w:r>
    </w:p>
    <w:p/>
    <w:p>
      <w:r>
        <w:t>电子侦察系统的关键指标包括频率覆盖范围、灵敏度和动态范围。现代侦察接收机可覆盖0.5-40 GHz频段，灵敏度达到-90 dBm以上。高速数字信号处理使脉冲分选速度达到700万脉冲/秒。</w:t>
      </w:r>
    </w:p>
    <w:p/>
    <w:p>
      <w:r>
        <w:t>干扰效果评估(EA)采用干信比(JSR)作为主要衡量标准。对雷达的有效干扰一般要求JSR &gt; 30dB，对通信的压制干扰需要JSR &gt; 0dB，欺骗干扰则更注重信号的一致性。</w:t>
      </w:r>
    </w:p>
    <w:p/>
    <w:p>
      <w:pPr>
        <w:pStyle w:val="Heading3"/>
      </w:pPr>
      <w:r>
        <w:t>3.2 威胁识别的技术参数要求</w:t>
      </w:r>
    </w:p>
    <w:p/>
    <w:p>
      <w:r>
        <w:t>根据相关国军标要求，威胁识别须满足以下技术参数：</w:t>
      </w:r>
    </w:p>
    <w:p>
      <w:r>
        <w:t>- 工作温度范围：-40°C至+55°C（按GJB 150A-2009执行环境试验）</w:t>
      </w:r>
    </w:p>
    <w:p>
      <w:r>
        <w:t>- 振动：5-500 Hz，加速度谱密度0.04 g²/Hz（按GJB 150.16执行）</w:t>
      </w:r>
    </w:p>
    <w:p>
      <w:r>
        <w:t>- 冲击：半正弦波，30g，11ms（按GJB 150.18执行）</w:t>
      </w:r>
    </w:p>
    <w:p>
      <w:r>
        <w:t>- 湿度：95% RH，+35°C（按GJB 150.9执行）</w:t>
      </w:r>
    </w:p>
    <w:p>
      <w:r>
        <w:t>- 盐雾：5% NaCl溶液，连续喷雾48h（按GJB 150.11执行）</w:t>
      </w:r>
    </w:p>
    <w:p>
      <w:r>
        <w:t>- EMC：满足GJB 151B-2013要求，CE102、RE102等限值</w:t>
      </w:r>
    </w:p>
    <w:p>
      <w:r>
        <w:t>- MTBF：不低于300小时（按GJB 899A-2009验证）</w:t>
      </w:r>
    </w:p>
    <w:p>
      <w:r>
        <w:t>- MTTR：不超过3小时</w:t>
      </w:r>
    </w:p>
    <w:p/>
    <w:p>
      <w:pPr>
        <w:pStyle w:val="Heading3"/>
      </w:pPr>
      <w:r>
        <w:t>3.3 操作流程</w:t>
      </w:r>
    </w:p>
    <w:p/>
    <w:p>
      <w:r>
        <w:t>1. 开机前检查：确认所有连接正确、供电正常、环境条件满足要求</w:t>
      </w:r>
    </w:p>
    <w:p>
      <w:r>
        <w:t>2. 上电自检：系统自动执行BIT检测，约15秒完成</w:t>
      </w:r>
    </w:p>
    <w:p>
      <w:r>
        <w:t>3. 参数设置：根据任务要求配置工作参数和模式选择</w:t>
      </w:r>
    </w:p>
    <w:p>
      <w:r>
        <w:t>4. 功能验证：执行功能测试，确认各项指标满足要求</w:t>
      </w:r>
    </w:p>
    <w:p>
      <w:r>
        <w:t>5. 正式运行：进入正常工作模式，开始执行任务</w:t>
      </w:r>
    </w:p>
    <w:p>
      <w:r>
        <w:t>6. 数据记录：全程记录关键参数和事件日志</w:t>
      </w:r>
    </w:p>
    <w:p>
      <w:r>
        <w:t>7. 关机流程：完成数据备份，按规程安全关机</w:t>
      </w:r>
    </w:p>
    <w:p/>
    <w:p/>
    <w:p>
      <w:pPr>
        <w:pStyle w:val="Heading2"/>
      </w:pPr>
      <w:r>
        <w:t>第四章 维护与检查规程</w:t>
      </w:r>
    </w:p>
    <w:p/>
    <w:p>
      <w:pPr>
        <w:pStyle w:val="Heading3"/>
      </w:pPr>
      <w:r>
        <w:t>4.1 日常维护</w:t>
      </w:r>
    </w:p>
    <w:p/>
    <w:p>
      <w:r>
        <w:t>每日检查项目：</w:t>
      </w:r>
    </w:p>
    <w:p>
      <w:r>
        <w:t>1. 外观检查：确认无破损、无锈蚀、无渗漏</w:t>
      </w:r>
    </w:p>
    <w:p>
      <w:r>
        <w:t>2. 电源检查：供电电压应在规定范围内（DC 24V ± 10%）</w:t>
      </w:r>
    </w:p>
    <w:p>
      <w:r>
        <w:t>3. 功能检查：运行自检程序，确认所有BIT项目通过</w:t>
      </w:r>
    </w:p>
    <w:p>
      <w:r>
        <w:t>4. 环境检查：工作温度在-20°C至70°C范围内</w:t>
      </w:r>
    </w:p>
    <w:p>
      <w:r>
        <w:t>5. 记录检查：填写当日维护记录表</w:t>
      </w:r>
    </w:p>
    <w:p/>
    <w:p>
      <w:pPr>
        <w:pStyle w:val="Heading3"/>
      </w:pPr>
      <w:r>
        <w:t>4.2 周维护</w:t>
      </w:r>
    </w:p>
    <w:p/>
    <w:p>
      <w:r>
        <w:t>每周维护项目：</w:t>
      </w:r>
    </w:p>
    <w:p>
      <w:r>
        <w:t>- 清洁设备表面及接口，使用无尘布和去离子水</w:t>
      </w:r>
    </w:p>
    <w:p>
      <w:r>
        <w:t>- 检查连接器紧固状态，扭矩值应在规定范围内</w:t>
      </w:r>
    </w:p>
    <w:p>
      <w:r>
        <w:t>- 校准测量基准，偏差不超过±1%</w:t>
      </w:r>
    </w:p>
    <w:p>
      <w:r>
        <w:t>- 检查密封件完整性，必要时更换</w:t>
      </w:r>
    </w:p>
    <w:p>
      <w:r>
        <w:t>- 更新系统软件至最新版本</w:t>
      </w:r>
    </w:p>
    <w:p/>
    <w:p>
      <w:pPr>
        <w:pStyle w:val="Heading3"/>
      </w:pPr>
      <w:r>
        <w:t>4.3 月度维护</w:t>
      </w:r>
    </w:p>
    <w:p/>
    <w:p>
      <w:r>
        <w:t>每月维护项目：</w:t>
      </w:r>
    </w:p>
    <w:p>
      <w:r>
        <w:t>- 全面性能测试，对比出厂指标</w:t>
      </w:r>
    </w:p>
    <w:p>
      <w:r>
        <w:t>- 校准频率源，频率偏差不超过±70 Hz</w:t>
      </w:r>
    </w:p>
    <w:p>
      <w:r>
        <w:t>- 检查备用电源，容量不低于额定值的80%</w:t>
      </w:r>
    </w:p>
    <w:p>
      <w:r>
        <w:t>- 检查散热系统，清理散热片灰尘</w:t>
      </w:r>
    </w:p>
    <w:p>
      <w:r>
        <w:t>- 整理维护记录，归档技术文档</w:t>
      </w:r>
    </w:p>
    <w:p/>
    <w:p>
      <w:pPr>
        <w:pStyle w:val="Heading2"/>
      </w:pPr>
      <w:r>
        <w:t>第五章 故障诊断与排除</w:t>
      </w:r>
    </w:p>
    <w:p/>
    <w:p>
      <w:pPr>
        <w:pStyle w:val="Heading3"/>
      </w:pPr>
      <w:r>
        <w:t>5.1 常见故障代码</w:t>
      </w:r>
    </w:p>
    <w:p/>
    <w:p>
      <w:r>
        <w:t>| 故障代码 | 故障描述 | 处理措施 |</w:t>
      </w:r>
    </w:p>
    <w:p>
      <w:r>
        <w:t>|---------|---------|---------|</w:t>
      </w:r>
    </w:p>
    <w:p>
      <w:r>
        <w:t>| ERR-001 | 功率不足 | 检查发射模块和供电系统 |</w:t>
      </w:r>
    </w:p>
    <w:p>
      <w:r>
        <w:t>| ERR-002 | 信号异常 | 检查信号链路和接口连接 |</w:t>
      </w:r>
    </w:p>
    <w:p>
      <w:r>
        <w:t>| ERR-003 | 通信中断 | 检查数据链路和协议配置 |</w:t>
      </w:r>
    </w:p>
    <w:p>
      <w:r>
        <w:t>| ERR-004 | 温度过高 | 检查散热系统和环境温度 |</w:t>
      </w:r>
    </w:p>
    <w:p>
      <w:r>
        <w:t>| ERR-005 | 校准失败 | 检查基准源和校准程序 |</w:t>
      </w:r>
    </w:p>
    <w:p>
      <w:r>
        <w:t>| ERR-006 | 内存错误 | 重启系统，检查存储模块 |</w:t>
      </w:r>
    </w:p>
    <w:p>
      <w:r>
        <w:t>| ERR-007 | 电源故障 | 检查供电线路和保险丝 |</w:t>
      </w:r>
    </w:p>
    <w:p>
      <w:r>
        <w:t>| ERR-008 | 同步丢失 | 检查时钟源和同步信号 |</w:t>
      </w:r>
    </w:p>
    <w:p/>
    <w:p>
      <w:pPr>
        <w:pStyle w:val="Heading2"/>
      </w:pPr>
      <w:r>
        <w:t>第六章 训练与考核</w:t>
      </w:r>
    </w:p>
    <w:p/>
    <w:p>
      <w:pPr>
        <w:pStyle w:val="Heading3"/>
      </w:pPr>
      <w:r>
        <w:t>6.1 基础训练</w:t>
      </w:r>
    </w:p>
    <w:p/>
    <w:p>
      <w:r>
        <w:t>训练课时：16学时</w:t>
      </w:r>
    </w:p>
    <w:p>
      <w:r>
        <w:t>训练对象：电子对抗相关专业士兵和士官</w:t>
      </w:r>
    </w:p>
    <w:p>
      <w:r>
        <w:t>训练内容：</w:t>
      </w:r>
    </w:p>
    <w:p>
      <w:r>
        <w:t>- 理论学习：威胁识别基本原理，40学时</w:t>
      </w:r>
    </w:p>
    <w:p>
      <w:r>
        <w:t>- 实操训练：设备操作规程，60学时</w:t>
      </w:r>
    </w:p>
    <w:p>
      <w:r>
        <w:t>- 故障排除：常见故障判断与处理，20学时</w:t>
      </w:r>
    </w:p>
    <w:p>
      <w:r>
        <w:t>- 综合演练：实战条件下操作考核，40学时</w:t>
      </w:r>
    </w:p>
    <w:p/>
    <w:p>
      <w:pPr>
        <w:pStyle w:val="Heading3"/>
      </w:pPr>
      <w:r>
        <w:t>6.2 考核标准</w:t>
      </w:r>
    </w:p>
    <w:p/>
    <w:p>
      <w:r>
        <w:t>- 理论考核：闭卷考试，80分合格</w:t>
      </w:r>
    </w:p>
    <w:p>
      <w:r>
        <w:t>- 实操考核：标准化操作流程，独立完成时间不超过30分钟</w:t>
      </w:r>
    </w:p>
    <w:p>
      <w:r>
        <w:t>- 故障排除：在规定时间内完成指定故障的定位和排除</w:t>
      </w:r>
    </w:p>
    <w:p/>
    <w:p>
      <w:pPr>
        <w:pStyle w:val="Heading2"/>
      </w:pPr>
      <w:r>
        <w:t>附录A 相关标准引用</w:t>
      </w:r>
    </w:p>
    <w:p/>
    <w:p>
      <w:r>
        <w:t>- GJB 9001C-2017 质量管理体系要求</w:t>
      </w:r>
    </w:p>
    <w:p>
      <w:r>
        <w:t>- GJB 150A-2009 军用装备实验室环境试验方法</w:t>
      </w:r>
    </w:p>
    <w:p>
      <w:r>
        <w:t>- GJB 899A-2009 可靠性鉴定和验收试验</w:t>
      </w:r>
    </w:p>
    <w:p>
      <w:r>
        <w:t>- GJB 450B-2008 装备可靠性工作通用要求</w:t>
      </w:r>
    </w:p>
    <w:p>
      <w:r>
        <w:t>- GJB 451A-2005 可靠性维修性保障性术语</w:t>
      </w:r>
    </w:p>
    <w:p>
      <w:r>
        <w:t>- GJB 7869-2012 军用雷达通用规范</w:t>
      </w:r>
    </w:p>
    <w:p>
      <w:r>
        <w:t>- GJB 2924-1997 军用超短波通信设备通用规范</w:t>
      </w:r>
    </w:p>
    <w:p>
      <w:r>
        <w:t>- GJB 5309-2004 导弹武器系统通用规范</w:t>
      </w:r>
    </w:p>
    <w:p>
      <w:r>
        <w:t>- GJB 792-1990 装甲车辆通用规范</w:t>
      </w:r>
    </w:p>
    <w:p>
      <w:r>
        <w:t>- GJB 7866-2012 电子对抗装备通用规范</w:t>
      </w:r>
    </w:p>
    <w:p/>
    <w:p/>
    <w:p>
      <w:pPr>
        <w:pStyle w:val="Heading2"/>
      </w:pPr>
      <w:r>
        <w:t>补充技术资料（威胁识别专题 #20）</w:t>
      </w:r>
    </w:p>
    <w:p/>
    <w:p>
      <w:r>
        <w:t>在联合训练中，电子对抗领域威胁识别的协同运用展现了良好的效果。多平台信息共享使态势感知时间缩短了40%，决策响应速度提高了15%。下一步将重点优化数据融合算法，进一步提升系统的智能化水平和自主决策能力。</w:t>
      </w:r>
    </w:p>
    <w:p/>
    <w:p>
      <w:r>
        <w:t>根据部队训练和演习的反馈数据，威胁识别相关装备在高温环境下（环境温度+50°C）连续工作12小时后，性能下降不超过5%。在低温环境下（-30°C），启动时间延长至正常值的4倍，需提前预热3分钟。这些数据为装备使用提供了重要的参考依据。</w:t>
      </w:r>
    </w:p>
    <w:p/>
    <w:p>
      <w:r>
        <w:t>装备技术档案管理遵循'一装一档'原则。每台装备建立独立的技术档案，记录装备出厂参数、历次检测数据、维修记录和使用情况。档案数据为装备状态评估和延寿决策提供了科学依据。通过大数据分析技术，可挖掘出装备故障规律20类关键特征。</w:t>
      </w:r>
    </w:p>
    <w:p/>
    <w:p>
      <w:r>
        <w:t>装备技术状态监测是威胁识别管理的重要手段。通过在线监测系统，可实时采集温度、振动、电流等10项参数。当参数偏离基准值超过10%时，系统自动发出预警信号。趋势分析可提前13天预测潜在故障，为预防性维修提供决策支持。</w:t>
      </w:r>
    </w:p>
    <w:p/>
    <w:p>
      <w:r>
        <w:t>国际军事技术交流中，电子对抗领域威胁识别的发展趋势备受关注。主要军事强国均加大了在该领域的研发投入，年均增长率超过9%。智能化、网络化和模块化是未来的主要发展方向。我方需持续跟踪前沿技术发展，加快自主创新步伐。</w:t>
      </w:r>
    </w:p>
    <w:p/>
    <w:p>
      <w:r>
        <w:t>备件储备是确保威胁识别装备持续运行的重要保障。根据故障率统计分析，易损件更换周期为：密封件5个月、滤芯3个月、继电器14个月。关键备件的储备量应不低于4个月的消耗量，紧急采购渠道响应时间不超过44小时。</w:t>
      </w:r>
    </w:p>
    <w:p/>
    <w:p>
      <w:r>
        <w:t>装备论证阶段的效费比分析是威胁识别装备采办决策的重要依据。全寿命费用(LCC)包括研制费、采购费、使用保障费和退役处置费。其中使用保障费约占总费用的60%，是费用控制的重点。可靠性提升投资回报率通常在20:23以上。</w:t>
      </w:r>
    </w:p>
    <w:p/>
    <w:p>
      <w:r>
        <w:t>从装备全寿命管理角度看，威胁识别相关的技术资料管理同样重要。技术说明书、维修手册和零部件目录须保持最新版本。每次技术改进后，应在9个工作日内完成技术资料的更新和分发。电子化资料管理系统的推广应用，使资料检索效率提升了60%。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