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电子对抗·电子侦察 技术文档</w:t>
      </w:r>
    </w:p>
    <w:p/>
    <w:p>
      <w:r>
        <w:t>**文件编号：** GJB-E794-001-2024</w:t>
      </w:r>
    </w:p>
    <w:p>
      <w:r>
        <w:t>**主题分类：** 电子对抗 / Electronic Warfare</w:t>
      </w:r>
    </w:p>
    <w:p>
      <w:r>
        <w:t>**子主题：** 电子侦察</w:t>
      </w:r>
    </w:p>
    <w:p>
      <w:r>
        <w:t>**密级：** 内部</w:t>
      </w:r>
    </w:p>
    <w:p>
      <w:r>
        <w:t>**编制日期：** 2024年02月02日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本文档针对电子对抗领域中的电子侦察进行系统性阐述。电子侦察是电子对抗技术体系的重要组成部分，对于提升装备作战效能具有关键作用。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随着现代战争形态的演变，电子对抗技术已成为信息化条件下作战能力的重要支撑。电子侦察作为电子对抗的核心环节，直接影响装备的实战性能和可靠性。根据GJB 9001C-2017质量管理体系要求，必须对电子侦察进行规范化管理。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电子侦察技术详述</w:t>
      </w:r>
    </w:p>
    <w:p/>
    <w:p>
      <w:pPr>
        <w:pStyle w:val="Heading3"/>
      </w:pPr>
      <w:r>
        <w:t>3.1 电子侦察的基本原理</w:t>
      </w:r>
    </w:p>
    <w:p/>
    <w:p>
      <w:r>
        <w:t>电子侦察是电子对抗技术中的关键环节。在现代信息化战场条件下，其技术水平和运用能力直接决定了装备体系的整体作战效能。本节从原理层面进行系统阐述。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电子对抗电子侦察是信息化条件下夺取电磁频谱控制权的关键手段。随着电子技术的发展，电子对抗与反对抗的博弈日趋激烈。认知电子战概念的提出标志着电子对抗进入智能化时代。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dBm以上。高速数字信号处理使脉冲分选速度达到510万脉冲/秒。</w:t>
      </w:r>
    </w:p>
    <w:p/>
    <w:p>
      <w:r>
        <w:t>干扰效果评估(EA)采用干信比(JSR)作为主要衡量标准。对雷达的有效干扰一般要求JSR &gt; 11dB，对通信的压制干扰需要JSR &gt; 0dB，欺骗干扰则更注重信号的一致性。</w:t>
      </w:r>
    </w:p>
    <w:p/>
    <w:p>
      <w:pPr>
        <w:pStyle w:val="Heading3"/>
      </w:pPr>
      <w:r>
        <w:t>3.2 电子侦察的技术参数要求</w:t>
      </w:r>
    </w:p>
    <w:p/>
    <w:p>
      <w:r>
        <w:t>根据相关国军标要求，电子侦察须满足以下技术参数：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环境检查：工作温度在-39°C至51°C范围内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