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电子对抗·电子支援 技术文档</w:t>
      </w:r>
    </w:p>
    <w:p/>
    <w:p>
      <w:r>
        <w:t>**文件编号：** GJB-E794-011-2024</w:t>
      </w:r>
    </w:p>
    <w:p>
      <w:r>
        <w:t>**主题分类：** 电子对抗 / Electronic Warfare</w:t>
      </w:r>
    </w:p>
    <w:p>
      <w:r>
        <w:t>**子主题：** 电子支援</w:t>
      </w:r>
    </w:p>
    <w:p>
      <w:r>
        <w:t>**密级：** 内部</w:t>
      </w:r>
    </w:p>
    <w:p>
      <w:r>
        <w:t>**编制日期：** 2024年12月12日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本文档针对电子对抗领域中的电子支援进行系统性阐述。电子支援是电子对抗技术体系的重要组成部分，对于提升装备作战效能具有关键作用。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随着现代战争形态的演变，电子对抗技术已成为信息化条件下作战能力的重要支撑。电子支援作为电子对抗的核心环节，直接影响装备的实战性能和可靠性。根据GJB 9001C-2017质量管理体系要求，必须对电子支援进行规范化管理。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电子支援技术详述</w:t>
      </w:r>
    </w:p>
    <w:p/>
    <w:p>
      <w:pPr>
        <w:pStyle w:val="Heading3"/>
      </w:pPr>
      <w:r>
        <w:t>3.1 电子支援的基本原理</w:t>
      </w:r>
    </w:p>
    <w:p/>
    <w:p>
      <w:r>
        <w:t>电子支援是电子对抗技术中的关键环节。在现代信息化战场条件下，其技术水平和运用能力直接决定了装备体系的整体作战效能。本节从原理层面进行系统阐述。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电子对抗电子支援是信息化条件下夺取电磁频谱控制权的关键手段。随着电子技术的发展，电子对抗与反对抗的博弈日趋激烈。认知电子战概念的提出标志着电子对抗进入智能化时代。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dBm以上。高速数字信号处理使脉冲分选速度达到610万脉冲/秒。</w:t>
      </w:r>
    </w:p>
    <w:p/>
    <w:p>
      <w:r>
        <w:t>干扰效果评估(EA)采用干信比(JSR)作为主要衡量标准。对雷达的有效干扰一般要求JSR &gt; 21dB，对通信的压制干扰需要JSR &gt; 0dB，欺骗干扰则更注重信号的一致性。</w:t>
      </w:r>
    </w:p>
    <w:p/>
    <w:p>
      <w:pPr>
        <w:pStyle w:val="Heading3"/>
      </w:pPr>
      <w:r>
        <w:t>3.2 电子支援的技术参数要求</w:t>
      </w:r>
    </w:p>
    <w:p/>
    <w:p>
      <w:r>
        <w:t>根据相关国军标要求，电子支援须满足以下技术参数：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环境检查：工作温度在-29°C至61°C范围内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理论学习：电子支援基本原理，22学时</w:t>
      </w:r>
    </w:p>
    <w:p>
      <w:r>
        <w:t>- 实操训练：设备操作规程，33学时</w:t>
      </w:r>
    </w:p>
    <w:p>
      <w:r>
        <w:t>- 故障排除：常见故障判断与处理，11学时</w:t>
      </w:r>
    </w:p>
    <w:p>
      <w:r>
        <w:t>- 综合演练：实战条件下操作考核，22学时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补充技术资料（电子支援专题 #11）</w:t>
      </w:r>
    </w:p>
    <w:p/>
    <w:p>
      <w:r>
        <w:t>装备试验与评价是验证电子支援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质量控制方面，电子支援的检验分为进货检验、过程检验和最终检验三个环节。进货检验按GJB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子支援保障效率的重要途径。通过物联网技术实现装备状态的实时感知，采集频率不低于11次/分钟。保障信息系统与指挥信息系统的互联互通，使保障决策时间缩短了41%。下一步将推广智能仓储和自动分拣技术，进一步提升保障效能。</w:t>
      </w:r>
    </w:p>
    <w:p/>
    <w:p>
      <w:r>
        <w:t>装备退役处置也需要遵守电子支援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电子对抗领域的电子支援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电子对抗领域电子支援的协同运用展现了良好的效果。多平台信息共享使态势感知时间缩短了31%，决策响应速度提高了26%。下一步将重点优化数据融合算法，进一步提升系统的智能化水平和自主决策能力。</w:t>
      </w:r>
    </w:p>
    <w:p/>
    <w:p>
      <w:r>
        <w:t>根据部队训练和演习的反馈数据，电子支援相关装备在高温环境下（环境温度+50°C）连续工作11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11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