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装甲车辆·主战坦克 技术文档</w:t>
      </w:r>
    </w:p>
    <w:p/>
    <w:p>
      <w:r>
        <w:t>**文件编号：** GJB-E8A3-001-2024</w:t>
      </w:r>
    </w:p>
    <w:p>
      <w:r>
        <w:t>**主题分类：** 装甲车辆 / Armor Vehicles</w:t>
      </w:r>
    </w:p>
    <w:p>
      <w:r>
        <w:t>**子主题：** 主战坦克</w:t>
      </w:r>
    </w:p>
    <w:p>
      <w:r>
        <w:t>**密级：** 内部</w:t>
      </w:r>
    </w:p>
    <w:p>
      <w:r>
        <w:t>**编制日期：** 2024年02月02日</w:t>
      </w:r>
    </w:p>
    <w:p/>
    <w:p>
      <w:pPr>
        <w:pStyle w:val="Heading2"/>
      </w:pPr>
      <w:r>
        <w:t>第一章 概述</w:t>
      </w:r>
    </w:p>
    <w:p/>
    <w:p>
      <w:r>
        <w:t>本文档针对装甲车辆领域中的主战坦克进行系统性阐述。主战坦克是装甲车辆技术体系的重要组成部分，对于提升装备作战效能具有关键作用。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随着现代战争形态的演变，装甲车辆技术已成为信息化条件下作战能力的重要支撑。主战坦克作为装甲车辆的核心环节，直接影响装备的实战性能和可靠性。根据GJB 9001C-2017质量管理体系要求，必须对主战坦克进行规范化管理。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战斗全重（ZTZ-99A）：55 t，依据GJB 792-1990</w:t>
      </w:r>
    </w:p>
    <w:p>
      <w:r>
        <w:t>- 发动机功率（ZTZ-99A）：1500 hp，依据GJB 792-1990</w:t>
      </w:r>
    </w:p>
    <w:p>
      <w:r>
        <w:t>- 最大速度（ZTZ-99A）：70 km/h，依据出厂检验</w:t>
      </w:r>
    </w:p>
    <w:p>
      <w:r>
        <w:t>- 主炮口径（ZTZ-99A）：125 mm，依据GJB 792-1990</w:t>
      </w:r>
    </w:p>
    <w:p>
      <w:r>
        <w:t>- 弹药基数（ZTZ-99A）：41 发，依据设计指标</w:t>
      </w:r>
    </w:p>
    <w:p/>
    <w:p>
      <w:pPr>
        <w:pStyle w:val="Heading2"/>
      </w:pPr>
      <w:r>
        <w:t>第三章 主战坦克技术详述</w:t>
      </w:r>
    </w:p>
    <w:p/>
    <w:p>
      <w:pPr>
        <w:pStyle w:val="Heading3"/>
      </w:pPr>
      <w:r>
        <w:t>3.1 主战坦克的基本原理</w:t>
      </w:r>
    </w:p>
    <w:p/>
    <w:p>
      <w:r>
        <w:t>主战坦克是装甲车辆技术中的关键环节。在现代信息化战场条件下，其技术水平和运用能力直接决定了装备体系的整体作战效能。本节从原理层面进行系统阐述。</w:t>
      </w:r>
    </w:p>
    <w:p/>
    <w:p>
      <w:r>
        <w:t>装甲车辆的主战坦克是影响其战场生存力和机动性的关键技术。现代装甲车辆在火力、机动、防护三个维度持续改进，同时注重信息化程度的提升。</w:t>
      </w:r>
    </w:p>
    <w:p/>
    <w:p>
      <w:r>
        <w:t>发动机功率密度是衡量动力系统先进性的重要指标。目前主流坦克发动机功率达到1500马力，单位功率21kW/t以上。传动系统采用液力机械综合传动，实现无级变速和中心转向。</w:t>
      </w:r>
    </w:p>
    <w:p/>
    <w:p>
      <w:r>
        <w:t>复合装甲和反应装甲的组合使用可有效提高防护能力。正面防护可抵御610mm穿甲弹的攻击。主动防护系统能够在毫秒级时间内探测并拦截来袭弹丸。</w:t>
      </w:r>
    </w:p>
    <w:p/>
    <w:p>
      <w:pPr>
        <w:pStyle w:val="Heading3"/>
      </w:pPr>
      <w:r>
        <w:t>3.2 主战坦克的技术参数要求</w:t>
      </w:r>
    </w:p>
    <w:p/>
    <w:p>
      <w:r>
        <w:t>根据相关国军标要求，主战坦克须满足以下技术参数：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MTBF：不低于400小时（按GJB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上电自检：系统自动执行BIT检测，约16秒完成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环境检查：工作温度在-39°C至51°C范围内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校准测量基准，偏差不超过±2%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校准频率源，频率偏差不超过±51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