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装甲车辆·步兵战车 技术文档</w:t>
      </w:r>
    </w:p>
    <w:p/>
    <w:p>
      <w:r>
        <w:t>**文件编号：** GJB-E8A3-002-2024</w:t>
      </w:r>
    </w:p>
    <w:p>
      <w:r>
        <w:t>**主题分类：** 装甲车辆 / Armor Vehicles</w:t>
      </w:r>
    </w:p>
    <w:p>
      <w:r>
        <w:t>**子主题：** 步兵战车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本文档针对装甲车辆领域中的步兵战车进行系统性阐述。步兵战车是装甲车辆技术体系的重要组成部分，对于提升装备作战效能具有关键作用。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随着现代战争形态的演变，装甲车辆技术已成为信息化条件下作战能力的重要支撑。步兵战车作为装甲车辆的核心环节，直接影响装备的实战性能和可靠性。根据GJB 9001C-2017质量管理体系要求，必须对步兵战车进行规范化管理。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步兵战车技术详述</w:t>
      </w:r>
    </w:p>
    <w:p/>
    <w:p>
      <w:pPr>
        <w:pStyle w:val="Heading3"/>
      </w:pPr>
      <w:r>
        <w:t>3.1 步兵战车的基本原理</w:t>
      </w:r>
    </w:p>
    <w:p/>
    <w:p>
      <w:r>
        <w:t>步兵战车是装甲车辆技术中的关键环节。在现代信息化战场条件下，其技术水平和运用能力直接决定了装备体系的整体作战效能。本节从原理层面进行系统阐述。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装甲车辆的步兵战车是影响其战场生存力和机动性的关键技术。现代装甲车辆在火力、机动、防护三个维度持续改进，同时注重信息化程度的提升。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发动机功率密度是衡量动力系统先进性的重要指标。目前主流坦克发动机功率达到1500马力，单位功率22kW/t以上。传动系统采用液力机械综合传动，实现无级变速和中心转向。</w:t>
      </w:r>
    </w:p>
    <w:p/>
    <w:p>
      <w:r>
        <w:t>复合装甲和反应装甲的组合使用可有效提高防护能力。正面防护可抵御620mm穿甲弹的攻击。主动防护系统能够在毫秒级时间内探测并拦截来袭弹丸。</w:t>
      </w:r>
    </w:p>
    <w:p/>
    <w:p>
      <w:pPr>
        <w:pStyle w:val="Heading3"/>
      </w:pPr>
      <w:r>
        <w:t>3.2 步兵战车的技术参数要求</w:t>
      </w:r>
    </w:p>
    <w:p/>
    <w:p>
      <w:r>
        <w:t>根据相关国军标要求，步兵战车须满足以下技术参数：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理论学习：步兵战车基本原理，4学时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补充技术资料（步兵战车专题 #2）</w:t>
      </w:r>
    </w:p>
    <w:p/>
    <w:p>
      <w:r>
        <w:t>装备技术状态监测是步兵战车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装甲车辆领域步兵战车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步兵战车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步兵战车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步兵战车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步兵战车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质量控制方面，步兵战车的检验分为进货检验、过程检验和最终检验三个环节。进货检验按GJB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步兵战车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