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通信装备·加密模块 技术文档</w:t>
      </w:r>
    </w:p>
    <w:p/>
    <w:p>
      <w:r>
        <w:t>**文件编号：** GJB-E980-006-2024</w:t>
      </w:r>
    </w:p>
    <w:p>
      <w:r>
        <w:t>**主题分类：** 通信装备 / Communications Equipment</w:t>
      </w:r>
    </w:p>
    <w:p>
      <w:r>
        <w:t>**子主题：** 加密模块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本文档针对通信装备领域中的加密模块进行系统性阐述。加密模块是通信装备技术体系的重要组成部分，对于提升装备作战效能具有关键作用。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随着现代战争形态的演变，通信装备技术已成为信息化条件下作战能力的重要支撑。加密模块作为通信装备的核心环节，直接影响装备的实战性能和可靠性。根据GJB 9001C-2017质量管理体系要求，必须对加密模块进行规范化管理。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加密模块技术详述</w:t>
      </w:r>
    </w:p>
    <w:p/>
    <w:p>
      <w:pPr>
        <w:pStyle w:val="Heading3"/>
      </w:pPr>
      <w:r>
        <w:t>3.1 加密模块的基本原理</w:t>
      </w:r>
    </w:p>
    <w:p/>
    <w:p>
      <w:r>
        <w:t>加密模块是通信装备技术中的关键环节。在现代信息化战场条件下，其技术水平和运用能力直接决定了装备体系的整体作战效能。本节从原理层面进行系统阐述。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通信加密模块在现代战场通信体系中占据重要地位。数字化通信技术使信息传输速率大幅提升，抗干扰能力显著增强。软件无线电(SDR)技术的应用使通信装备具备多频段、多模式工作能力。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跳频通信是重要的抗干扰手段，跳速达到360跳/秒以上时，可有效对抗跟踪式干扰。跳频带宽越宽，抗干扰能力越强。自适应跳频还可以感知并避开被干扰的频点。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加密模块的技术参数要求</w:t>
      </w:r>
    </w:p>
    <w:p/>
    <w:p>
      <w:r>
        <w:t>根据相关国军标要求，加密模块须满足以下技术参数：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理论学习：加密模块基本原理，12学时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补充技术资料（加密模块专题 #6）</w:t>
      </w:r>
    </w:p>
    <w:p/>
    <w:p>
      <w:r>
        <w:t>装备退役处置也需要遵守加密模块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加密模块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通信装备领域加密模块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加密模块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加密模块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通信装备领域加密模块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加密模块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加密模块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加密模块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加密模块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质量控制方面，加密模块的检验分为进货检验、过程检验和最终检验三个环节。进货检验按GJB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补充技术资料（加密模块专题 #16）</w:t>
      </w:r>
    </w:p>
    <w:p/>
    <w:p>
      <w:r>
        <w:t>备件储备是确保加密模块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加密模块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加密模块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加密模块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质量控制方面，加密模块的检验分为进货检验、过程检验和最终检验三个环节。进货检验按GJB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加密模块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加密模块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加密模块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通信装备领域加密模块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加密模块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加密模块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补充技术资料（加密模块专题 #26）</w:t>
      </w:r>
    </w:p>
    <w:p/>
    <w:p>
      <w:r>
        <w:t>在实际作战运用中，通信装备领域的加密模块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通信装备领域加密模块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加密模块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加密模块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通信装备领域加密模块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加密模块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加密模块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加密模块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加密模块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质量控制方面，加密模块的检验分为进货检验、过程检验和最终检验三个环节。进货检验按GJB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加密模块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