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通信装备·接地防雷 技术文档</w:t>
      </w:r>
    </w:p>
    <w:p/>
    <w:p>
      <w:r>
        <w:t>**文件编号：** GJB-E980-026-2024</w:t>
      </w:r>
    </w:p>
    <w:p>
      <w:r>
        <w:t>**主题分类：** 通信装备 / Communications Equipment</w:t>
      </w:r>
    </w:p>
    <w:p>
      <w:r>
        <w:t>**子主题：** 接地防雷</w:t>
      </w:r>
    </w:p>
    <w:p>
      <w:r>
        <w:t>**密级：** 内部</w:t>
      </w:r>
    </w:p>
    <w:p>
      <w:r>
        <w:t>**编制日期：** 2024年03月27日</w:t>
      </w:r>
    </w:p>
    <w:p/>
    <w:p>
      <w:pPr>
        <w:pStyle w:val="Heading2"/>
      </w:pPr>
      <w:r>
        <w:t>第一章 概述</w:t>
      </w:r>
    </w:p>
    <w:p/>
    <w:p>
      <w:r>
        <w:t>本文档针对通信装备领域中的接地防雷进行系统性阐述。接地防雷是通信装备技术体系的重要组成部分，对于提升装备作战效能具有关键作用。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随着现代战争形态的演变，通信装备技术已成为信息化条件下作战能力的重要支撑。接地防雷作为通信装备的核心环节，直接影响装备的实战性能和可靠性。根据GJB 9001C-2017质量管理体系要求，必须对接地防雷进行规范化管理。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接地防雷技术详述</w:t>
      </w:r>
    </w:p>
    <w:p/>
    <w:p>
      <w:pPr>
        <w:pStyle w:val="Heading3"/>
      </w:pPr>
      <w:r>
        <w:t>3.1 接地防雷的基本原理</w:t>
      </w:r>
    </w:p>
    <w:p/>
    <w:p>
      <w:r>
        <w:t>接地防雷是通信装备技术中的关键环节。在现代信息化战场条件下，其技术水平和运用能力直接决定了装备体系的整体作战效能。本节从原理层面进行系统阐述。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通信接地防雷在现代战场通信体系中占据重要地位。数字化通信技术使信息传输速率大幅提升，抗干扰能力显著增强。软件无线电(SDR)技术的应用使通信装备具备多频段、多模式工作能力。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跳频通信是重要的抗干扰手段，跳速达到560跳/秒以上时，可有效对抗跟踪式干扰。跳频带宽越宽，抗干扰能力越强。自适应跳频还可以感知并避开被干扰的频点。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接地防雷的技术参数要求</w:t>
      </w:r>
    </w:p>
    <w:p/>
    <w:p>
      <w:r>
        <w:t>根据相关国军标要求，接地防雷须满足以下技术参数：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环境检查：工作温度在-14°C至76°C范围内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理论学习：接地防雷基本原理，52学时</w:t>
      </w:r>
    </w:p>
    <w:p>
      <w:r>
        <w:t>- 实操训练：设备操作规程，78学时</w:t>
      </w:r>
    </w:p>
    <w:p>
      <w:r>
        <w:t>- 故障排除：常见故障判断与处理，26学时</w:t>
      </w:r>
    </w:p>
    <w:p>
      <w:r>
        <w:t>- 综合演练：实战条件下操作考核，52学时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补充技术资料（接地防雷专题 #26）</w:t>
      </w:r>
    </w:p>
    <w:p/>
    <w:p>
      <w:r>
        <w:t>在实际作战运用中，通信装备领域的接地防雷需要特别关注以下技术要点。首先，装备的可靠性直接影响任务完成率。统计数据显示，经过规范维护的装备，任务成功率可达91%以上，而缺乏维护的装备成功率仅为71%。因此，严格执行维护规程是保障装备战备完好率的关键措施。</w:t>
      </w:r>
    </w:p>
    <w:p/>
    <w:p>
      <w:r>
        <w:t>在联合训练中，通信装备领域接地防雷的协同运用展现了良好的效果。多平台信息共享使态势感知时间缩短了46%，决策响应速度提高了21%。下一步将重点优化数据融合算法，进一步提升系统的智能化水平和自主决策能力。</w:t>
      </w:r>
    </w:p>
    <w:p/>
    <w:p>
      <w:r>
        <w:t>根据部队训练和演习的反馈数据，接地防雷相关装备在高温环境下（环境温度+50°C）连续工作10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26类关键特征。</w:t>
      </w:r>
    </w:p>
    <w:p/>
    <w:p>
      <w:r>
        <w:t>装备技术状态监测是接地防雷管理的重要手段。通过在线监测系统，可实时采集温度、振动、电流等16项参数。当参数偏离基准值超过11%时，系统自动发出预警信号。趋势分析可提前19天预测潜在故障，为预防性维修提供决策支持。</w:t>
      </w:r>
    </w:p>
    <w:p/>
    <w:p>
      <w:r>
        <w:t>国际军事技术交流中，通信装备领域接地防雷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接地防雷装备持续运行的重要保障。根据故障率统计分析，易损件更换周期为：密封件5个月、滤芯3个月、继电器8个月。关键备件的储备量应不低于4个月的消耗量，紧急采购渠道响应时间不超过50小时。</w:t>
      </w:r>
    </w:p>
    <w:p/>
    <w:p>
      <w:r>
        <w:t>装备论证阶段的效费比分析是接地防雷装备采办决策的重要依据。全寿命费用(LCC)包括研制费、采购费、使用保障费和退役处置费。其中使用保障费约占总费用的66%，是费用控制的重点。可靠性提升投资回报率通常在26:29以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