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通信装备·通信线缆 技术文档</w:t>
      </w:r>
    </w:p>
    <w:p/>
    <w:p>
      <w:r>
        <w:t>**文件编号：** GJB-E980-025-2024</w:t>
      </w:r>
    </w:p>
    <w:p>
      <w:r>
        <w:t>**主题分类：** 通信装备 / Communications Equipment</w:t>
      </w:r>
    </w:p>
    <w:p>
      <w:r>
        <w:t>**子主题：** 通信线缆</w:t>
      </w:r>
    </w:p>
    <w:p>
      <w:r>
        <w:t>**密级：** 内部</w:t>
      </w:r>
    </w:p>
    <w:p>
      <w:r>
        <w:t>**编制日期：** 2024年02月26日</w:t>
      </w:r>
    </w:p>
    <w:p/>
    <w:p>
      <w:pPr>
        <w:pStyle w:val="Heading2"/>
      </w:pPr>
      <w:r>
        <w:t>第一章 概述</w:t>
      </w:r>
    </w:p>
    <w:p/>
    <w:p>
      <w:r>
        <w:t>本文档针对通信装备领域中的通信线缆进行系统性阐述。通信线缆是通信装备技术体系的重要组成部分，对于提升装备作战效能具有关键作用。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随着现代战争形态的演变，通信装备技术已成为信息化条件下作战能力的重要支撑。通信线缆作为通信装备的核心环节，直接影响装备的实战性能和可靠性。根据GJB 9001C-2017质量管理体系要求，必须对通信线缆进行规范化管理。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频率范围（ZBD-2000）：30-512 MHz，依据GJB 2924-1997</w:t>
      </w:r>
    </w:p>
    <w:p>
      <w:r>
        <w:t>- 输出功率（ZBD-2000）：5/20/50 W，依据GJB 2924-1997</w:t>
      </w:r>
    </w:p>
    <w:p>
      <w:r>
        <w:t>- 工作温度（ZBD-2000）：-40~+55 °C，依据GJB 150A-2009</w:t>
      </w:r>
    </w:p>
    <w:p>
      <w:r>
        <w:t>- 防护等级（ZBD-2000）：IP67 ，依据GJB 4206-2000</w:t>
      </w:r>
    </w:p>
    <w:p>
      <w:r>
        <w:t>- 重量（ZBD-2000）：3.5 kg，依据称重</w:t>
      </w:r>
    </w:p>
    <w:p/>
    <w:p>
      <w:pPr>
        <w:pStyle w:val="Heading2"/>
      </w:pPr>
      <w:r>
        <w:t>第三章 通信线缆技术详述</w:t>
      </w:r>
    </w:p>
    <w:p/>
    <w:p>
      <w:pPr>
        <w:pStyle w:val="Heading3"/>
      </w:pPr>
      <w:r>
        <w:t>3.1 通信线缆的基本原理</w:t>
      </w:r>
    </w:p>
    <w:p/>
    <w:p>
      <w:r>
        <w:t>通信线缆是通信装备技术中的关键环节。在现代信息化战场条件下，其技术水平和运用能力直接决定了装备体系的整体作战效能。本节从原理层面进行系统阐述。</w:t>
      </w:r>
    </w:p>
    <w:p/>
    <w:p>
      <w:r>
        <w:t>通信通信线缆在现代战场通信体系中占据重要地位。数字化通信技术使信息传输速率大幅提升，抗干扰能力显著增强。软件无线电(SDR)技术的应用使通信装备具备多频段、多模式工作能力。</w:t>
      </w:r>
    </w:p>
    <w:p/>
    <w:p>
      <w:r>
        <w:t>跳频通信是重要的抗干扰手段，跳速达到550跳/秒以上时，可有效对抗跟踪式干扰。跳频带宽越宽，抗干扰能力越强。自适应跳频还可以感知并避开被干扰的频点。</w:t>
      </w:r>
    </w:p>
    <w:p/>
    <w:p>
      <w:r>
        <w:t>军事通信加密采用流密码体制，密钥长度不低于128位。密钥分发采用二级密钥管理体制，每日更换工作密钥。通信保密设备应通过国家密码管理局的型号认证。</w:t>
      </w:r>
    </w:p>
    <w:p/>
    <w:p>
      <w:pPr>
        <w:pStyle w:val="Heading3"/>
      </w:pPr>
      <w:r>
        <w:t>3.2 通信线缆的技术参数要求</w:t>
      </w:r>
    </w:p>
    <w:p/>
    <w:p>
      <w:r>
        <w:t>根据相关国军标要求，通信线缆须满足以下技术参数：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环境检查：工作温度在-15°C至75°C范围内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