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pPr>
      <w:r>
        <w:t xml:space="preserve">Anomaly detection in hourly building electricity meter data</w:t>
      </w:r>
    </w:p>
    <w:p>
      <w:pPr>
        <w:pStyle w:val="Subtitle"/>
      </w:pPr>
      <w:r>
        <w:t xml:space="preserve">Unsupervised and supervised machine learning evidence</w:t>
      </w:r>
    </w:p>
    <w:p>
      <w:pPr>
        <w:pStyle w:val="Heading2"/>
      </w:pPr>
      <w:r>
        <w:t xml:space="preserve">EDAB6808 Assignment 2</w:t>
      </w:r>
      <w:r>
        <w:br/>
        <w:t>Lwazi</w:t>
      </w:r>
      <w:r>
        <w:t xml:space="preserve"> Nhlapo(2021856345)</w:t>
      </w:r>
    </w:p>
    <w:p>
      <w:pPr>
        <w:pStyle w:val="Heading2"/>
      </w:pPr>
      <w:r>
        <w:t xml:space="preserve">Fumane Malangabe(2019611165)</w:t>
      </w:r>
    </w:p>
    <w:p>
      <w:pPr>
        <w:pStyle w:val="Heading1"/>
      </w:pPr>
      <w:r>
        <w:t xml:space="preserve">Executive summary</w:t>
      </w:r>
    </w:p>
    <w:p>
      <w:r>
        <w:t xml:space="preserve">The results support a tuned LightGBM classifier as the preferred detector for the unlabelled test buildings. In five-fold validation that holds out 40 whole buildings at a time, LightGBM reaches a mean precision-recall area under the curve (PR-AUC) of 0.7765, compared with 0.5086 for a tuned Isolation Forest. PR-AUC measures how precise the flagged hours remain as more of the true anomalies are recovered. A model that ranked hours at random would score about 0.0227, the share of modelled hours labelled anomalous. LightGBM also has the higher receiver operating characteristic area under the curve (ROC-AUC), 0.9542 against 0.8994, and it leads on both measures in all five held-out groups of buildings.</w:t>
      </w:r>
    </w:p>
    <w:p>
      <w:r>
        <w:t xml:space="preserve">At the selected score threshold of 0.9795, LightGBM's out-of-fold predictions reach a precision of 0.8603, a recall of 0.6421 and an F1 score of 0.7353. About 86 of every 100 flagged hours are labelled anomalies, and about 64 of every 100 labelled anomalies are found. The threshold favours precision: it produces 3,888 false alarms and 13,350 missed anomalies. The default threshold of 0.5 would recover 80.08% of anomalies, but fewer than half of its flags would be correct (precision 0.4430). Applied to test.csv, the final model flags 1.4280% of rows, and the submission file matches the 1,800,567-row template.</w:t>
      </w:r>
    </w:p>
    <w:p>
      <w:r>
        <w:t xml:space="preserve">The largest driver of performance is a feature rather than the choice of model or tuning method. Labelled anomalies repeat the previous hour's exact reading 62.0% of the time, compared with 9.4% of normal hours. The run-length feature built on this pattern is the largest single source of LightGBM gain, and with its companion flag it carries 41.5% of total gain. Bayesian tuning changed little. LightGBM moved from 0.7799 with hand-picked settings to 0.7765, and Isolation Forest from 0.4877 to 0.5086. Both changes are small relative to the fold-to-fold standard deviations of 0.0642 and 0.1081, so tuning added a documented, repeatable search rather than a clear improvement.</w:t>
      </w:r>
    </w:p>
    <w:p>
      <w:pPr>
        <w:pStyle w:val="Heading2"/>
      </w:pPr>
      <w:r>
        <w:t xml:space="preserve">Purpose and scope</w:t>
      </w:r>
    </w:p>
    <w:p>
      <w:r>
        <w:t xml:space="preserve">Question 1 requires anomaly detection on hourly building electricity meter readings, a validation design that prevents leakage, at least ten explained point anomalies and binary predictions for the unlabelled test file in the sample-submission format (University of the Free State, 2026). The data are a subset of the Large-scale Energy Anomaly Detection (LEAD) competition data (Kaggle, n.d.), an annotated release of hourly electricity meter series from the ASHRAE Great Energy Predictor III data (Gulati and Arjunan, 2022).</w:t>
      </w:r>
    </w:p>
    <w:p>
      <w:r>
        <w:t xml:space="preserve">The analysis uses train.csv and test.csv only; the brief allows full marks without the optional feature files, and building every feature in the notebook keeps each step auditable. The test predictions are model outputs, not confirmed faults.</w:t>
      </w:r>
    </w:p>
    <w:p>
      <w:pPr>
        <w:pStyle w:val="Heading1"/>
        <w:pageBreakBefore/>
      </w:pPr>
      <w:r>
        <w:t xml:space="preserve">2 Data preparation and the detection target</w:t>
      </w:r>
    </w:p>
    <w:p>
      <w:r>
        <w:t xml:space="preserve">The training file contains 1,749,494 hourly rows for 200 buildings, covering every hour of 2016. Each row holds building_id, timestamp, meter_reading and anomaly, where anomaly = 1 marks an hour labelled anomalous. The test file has 1,800,567 rows with a row_id in place of the label, and sample_submission.csv lists the same row_id values.</w:t>
      </w:r>
    </w:p>
    <w:p>
      <w:pPr>
        <w:keepNext/>
      </w:pPr>
      <w:r>
        <w:rPr>
          <w:b/>
        </w:rPr>
        <w:t xml:space="preserve">Table 1. Data checks and cleaning decisions</w:t>
      </w:r>
    </w:p>
    <w:tbl>
      <w:tblPr>
        <w:tblW w:w="0" w:type="auto"/>
        <w:jc w:val="center"/>
        <w:tblLayout w:type="fixed"/>
        <w:tblLook w:val="04A0" w:firstRow="1" w:lastRow="0" w:firstColumn="1" w:lastColumn="0" w:noHBand="0" w:noVBand="1"/>
      </w:tblPr>
      <w:tblGrid>
        <w:gridCol w:w="2500"/>
        <w:gridCol w:w="3900"/>
        <w:gridCol w:w="3200"/>
      </w:tblGrid>
      <w:tr>
        <w:trPr>
          <w:cantSplit/>
          <w:tblHeader/>
          <w:jc w:val="center"/>
        </w:trPr>
        <w:tc>
          <w:tcPr>
            <w:tcW w:w="2500" w:type="dxa"/>
            <w:tcBorders>
              <w:top w:val="single" w:sz="4" w:space="0" w:color="D9D9D9"/>
              <w:left w:val="single" w:sz="4" w:space="0" w:color="D9D9D9"/>
              <w:bottom w:val="single" w:sz="4" w:space="0" w:color="D9D9D9"/>
              <w:right w:val="single" w:sz="4" w:space="0" w:color="D9D9D9"/>
            </w:tcBorders>
            <w:shd w:val="clear" w:color="auto" w:fill="243E55"/>
            <w:tcMar>
              <w:top w:w="75" w:type="dxa"/>
              <w:left w:w="75" w:type="dxa"/>
              <w:bottom w:w="75" w:type="dxa"/>
              <w:right w:w="75" w:type="dxa"/>
            </w:tcMar>
            <w:vAlign w:val="center"/>
          </w:tcPr>
          <w:p>
            <w:pPr>
              <w:spacing w:after="0" w:line="252" w:lineRule="auto"/>
            </w:pPr>
            <w:r>
              <w:rPr>
                <w:b/>
                <w:color w:val="FFFFFF"/>
                <w:sz w:val="18"/>
              </w:rPr>
              <w:t xml:space="preserve">Check</w:t>
            </w:r>
          </w:p>
        </w:tc>
        <w:tc>
          <w:tcPr>
            <w:tcW w:w="3900" w:type="dxa"/>
            <w:tcBorders>
              <w:top w:val="single" w:sz="4" w:space="0" w:color="D9D9D9"/>
              <w:left w:val="single" w:sz="4" w:space="0" w:color="D9D9D9"/>
              <w:bottom w:val="single" w:sz="4" w:space="0" w:color="D9D9D9"/>
              <w:right w:val="single" w:sz="4" w:space="0" w:color="D9D9D9"/>
            </w:tcBorders>
            <w:shd w:val="clear" w:color="auto" w:fill="243E55"/>
            <w:tcMar>
              <w:top w:w="75" w:type="dxa"/>
              <w:left w:w="75" w:type="dxa"/>
              <w:bottom w:w="75" w:type="dxa"/>
              <w:right w:w="75" w:type="dxa"/>
            </w:tcMar>
            <w:vAlign w:val="center"/>
          </w:tcPr>
          <w:p>
            <w:pPr>
              <w:spacing w:after="0" w:line="252" w:lineRule="auto"/>
            </w:pPr>
            <w:r>
              <w:rPr>
                <w:b/>
                <w:color w:val="FFFFFF"/>
                <w:sz w:val="18"/>
              </w:rPr>
              <w:t xml:space="preserve">Result</w:t>
            </w:r>
          </w:p>
        </w:tc>
        <w:tc>
          <w:tcPr>
            <w:tcW w:w="3200" w:type="dxa"/>
            <w:tcBorders>
              <w:top w:val="single" w:sz="4" w:space="0" w:color="D9D9D9"/>
              <w:left w:val="single" w:sz="4" w:space="0" w:color="D9D9D9"/>
              <w:bottom w:val="single" w:sz="4" w:space="0" w:color="D9D9D9"/>
              <w:right w:val="single" w:sz="4" w:space="0" w:color="D9D9D9"/>
            </w:tcBorders>
            <w:shd w:val="clear" w:color="auto" w:fill="243E55"/>
            <w:tcMar>
              <w:top w:w="75" w:type="dxa"/>
              <w:left w:w="75" w:type="dxa"/>
              <w:bottom w:w="75" w:type="dxa"/>
              <w:right w:w="75" w:type="dxa"/>
            </w:tcMar>
            <w:vAlign w:val="center"/>
          </w:tcPr>
          <w:p>
            <w:pPr>
              <w:spacing w:after="0" w:line="252" w:lineRule="auto"/>
            </w:pPr>
            <w:r>
              <w:rPr>
                <w:b/>
                <w:color w:val="FFFFFF"/>
                <w:sz w:val="18"/>
              </w:rPr>
              <w:t xml:space="preserve">Decision</w:t>
            </w:r>
          </w:p>
        </w:tc>
      </w:tr>
      <w:tr>
        <w:trPr>
          <w:cantSplit/>
          <w:jc w:val="center"/>
        </w:trPr>
        <w:tc>
          <w:tcPr>
            <w:tcW w:w="25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pPr>
            <w:r>
              <w:rPr>
                <w:sz w:val="18"/>
              </w:rPr>
              <w:t xml:space="preserve">Duplicate building-hour pairs</w:t>
            </w:r>
          </w:p>
        </w:tc>
        <w:tc>
          <w:tcPr>
            <w:tcW w:w="39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pPr>
            <w:r>
              <w:rPr>
                <w:sz w:val="18"/>
              </w:rPr>
              <w:t xml:space="preserve">0</w:t>
            </w:r>
          </w:p>
        </w:tc>
        <w:tc>
          <w:tcPr>
            <w:tcW w:w="32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pPr>
            <w:r>
              <w:rPr>
                <w:sz w:val="18"/>
              </w:rPr>
              <w:t xml:space="preserve">No de-duplication needed</w:t>
            </w:r>
          </w:p>
        </w:tc>
      </w:tr>
      <w:tr>
        <w:trPr>
          <w:cantSplit/>
          <w:jc w:val="center"/>
        </w:trPr>
        <w:tc>
          <w:tcPr>
            <w:tcW w:w="25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pPr>
            <w:r>
              <w:rPr>
                <w:sz w:val="18"/>
              </w:rPr>
              <w:t xml:space="preserve">Hours absent from the file</w:t>
            </w:r>
          </w:p>
        </w:tc>
        <w:tc>
          <w:tcPr>
            <w:tcW w:w="39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pPr>
            <w:r>
              <w:rPr>
                <w:sz w:val="18"/>
              </w:rPr>
              <w:t xml:space="preserve">7,306 of 1,756,800 building-hours; median 1 and maximum 1,313 per building</w:t>
            </w:r>
          </w:p>
        </w:tc>
        <w:tc>
          <w:tcPr>
            <w:tcW w:w="32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pPr>
            <w:r>
              <w:rPr>
                <w:sz w:val="18"/>
              </w:rPr>
              <w:t xml:space="preserve">Reinserted as empty hours so that lags follow clock time</w:t>
            </w:r>
          </w:p>
        </w:tc>
      </w:tr>
      <w:tr>
        <w:trPr>
          <w:cantSplit/>
          <w:jc w:val="center"/>
        </w:trPr>
        <w:tc>
          <w:tcPr>
            <w:tcW w:w="25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pPr>
            <w:r>
              <w:rPr>
                <w:sz w:val="18"/>
              </w:rPr>
              <w:t xml:space="preserve">Rows with no reading</w:t>
            </w:r>
          </w:p>
        </w:tc>
        <w:tc>
          <w:tcPr>
            <w:tcW w:w="39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pPr>
            <w:r>
              <w:rPr>
                <w:sz w:val="18"/>
              </w:rPr>
              <w:t xml:space="preserve">107,653 (6.15%), all labelled normal</w:t>
            </w:r>
          </w:p>
        </w:tc>
        <w:tc>
          <w:tcPr>
            <w:tcW w:w="32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pPr>
            <w:r>
              <w:rPr>
                <w:sz w:val="18"/>
              </w:rPr>
              <w:t xml:space="preserve">Not imputed or scored; missing share kept as a feature</w:t>
            </w:r>
          </w:p>
        </w:tc>
      </w:tr>
      <w:tr>
        <w:trPr>
          <w:cantSplit/>
          <w:jc w:val="center"/>
        </w:trPr>
        <w:tc>
          <w:tcPr>
            <w:tcW w:w="25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pPr>
            <w:r>
              <w:rPr>
                <w:sz w:val="18"/>
              </w:rPr>
              <w:t xml:space="preserve">Buildings with missing readings</w:t>
            </w:r>
          </w:p>
        </w:tc>
        <w:tc>
          <w:tcPr>
            <w:tcW w:w="39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pPr>
            <w:r>
              <w:rPr>
                <w:sz w:val="18"/>
              </w:rPr>
              <w:t xml:space="preserve">177 of 200; 2 have more than half missing</w:t>
            </w:r>
          </w:p>
        </w:tc>
        <w:tc>
          <w:tcPr>
            <w:tcW w:w="32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pPr>
            <w:r>
              <w:rPr>
                <w:sz w:val="18"/>
              </w:rPr>
              <w:t xml:space="preserve">Buildings kept</w:t>
            </w:r>
          </w:p>
        </w:tc>
      </w:tr>
      <w:tr>
        <w:trPr>
          <w:cantSplit/>
          <w:jc w:val="center"/>
        </w:trPr>
        <w:tc>
          <w:tcPr>
            <w:tcW w:w="25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pPr>
            <w:r>
              <w:rPr>
                <w:sz w:val="18"/>
              </w:rPr>
              <w:t xml:space="preserve">Labelled anomalies</w:t>
            </w:r>
          </w:p>
        </w:tc>
        <w:tc>
          <w:tcPr>
            <w:tcW w:w="39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pPr>
            <w:r>
              <w:rPr>
                <w:sz w:val="18"/>
              </w:rPr>
              <w:t xml:space="preserve">2.1318% of all rows; 2.2716% of rows with a reading</w:t>
            </w:r>
          </w:p>
        </w:tc>
        <w:tc>
          <w:tcPr>
            <w:tcW w:w="32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pPr>
            <w:r>
              <w:rPr>
                <w:sz w:val="18"/>
              </w:rPr>
              <w:t xml:space="preserve">Accuracy not used; PR-AUC is the main measure</w:t>
            </w:r>
          </w:p>
        </w:tc>
      </w:tr>
      <w:tr>
        <w:trPr>
          <w:cantSplit/>
          <w:jc w:val="center"/>
        </w:trPr>
        <w:tc>
          <w:tcPr>
            <w:tcW w:w="25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pPr>
            <w:r>
              <w:rPr>
                <w:sz w:val="18"/>
              </w:rPr>
              <w:t xml:space="preserve">Modelling frame</w:t>
            </w:r>
          </w:p>
        </w:tc>
        <w:tc>
          <w:tcPr>
            <w:tcW w:w="39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pPr>
            <w:r>
              <w:rPr>
                <w:sz w:val="18"/>
              </w:rPr>
              <w:t xml:space="preserve">1,641,841 rows, 24 features</w:t>
            </w:r>
          </w:p>
        </w:tc>
        <w:tc>
          <w:tcPr>
            <w:tcW w:w="32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pPr>
            <w:r>
              <w:rPr>
                <w:sz w:val="18"/>
              </w:rPr>
              <w:t xml:space="preserve">Used for all validation</w:t>
            </w:r>
          </w:p>
        </w:tc>
      </w:tr>
    </w:tbl>
    <w:p>
      <w:pPr>
        <w:spacing w:after="0"/>
      </w:pPr>
    </w:p>
    <w:p>
      <w:r>
        <w:t xml:space="preserve">Missing data take two forms. First, 7,306 of the 1,756,800 building-hours in a full 2016 calendar are absent from the file. They are reinserted as empty rows; otherwise the previous hour after a gap would be a reading from hours or days earlier, and the change and run-length features would be wrong. Second, 107,653 rows are present with no reading, and every one is labelled normal. A missing reading is therefore treated as a data-quality issue, not an anomaly; these rows are not imputed or scored, and the missing share in a centred 24-hour window (miss_24) is kept as a predictor.</w:t>
      </w:r>
    </w:p>
    <w:p>
      <w:pPr>
        <w:keepNext/>
        <w:jc w:val="center"/>
      </w:pPr>
      <w:r>
        <w:rPr>
          <w:noProof/>
        </w:rPr>
        <w:drawing>
          <wp:inline distT="0" distB="0" distL="0" distR="0">
            <wp:extent cx="4206240" cy="16994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01"/>
                    <a:stretch>
                      <a:fillRect/>
                    </a:stretch>
                  </pic:blipFill>
                  <pic:spPr>
                    <a:xfrm>
                      <a:off x="0" y="0"/>
                      <a:ext cx="4206240" cy="1699490"/>
                    </a:xfrm>
                    <a:prstGeom prst="rect">
                      <a:avLst/>
                    </a:prstGeom>
                  </pic:spPr>
                </pic:pic>
              </a:graphicData>
            </a:graphic>
          </wp:inline>
        </w:drawing>
      </w:r>
    </w:p>
    <w:p>
      <w:pPr>
        <w:pStyle w:val="Caption"/>
        <w:ind w:left="792"/>
        <w:jc w:val="center"/>
      </w:pPr>
      <w:r>
        <w:t xml:space="preserve">Figure 1. Share of hours labelled anomalous in each training building.</w:t>
      </w:r>
    </w:p>
    <w:p>
      <w:r>
        <w:t xml:space="preserve">Labelled anomalies are rare: 37,296 of 1,749,494 rows (2.1318%), about 43 normal hours for every anomalous hour among rows with a reading. A rule that labels every hour normal would be 97.87% accurate and detect nothing, so accuracy is not used. Figure 1 shows that the anomaly share ranges from 0.58% to 8.82% across buildings. A model that has seen some hours of a building learns that building's level, noise and faults, so evaluation must hold out whole buildings to reflect performance on the new buildings in the test file (Section 4).</w:t>
      </w:r>
    </w:p>
    <w:p>
      <w:pPr>
        <w:pStyle w:val="Heading1"/>
        <w:pageBreakBefore/>
      </w:pPr>
      <w:r>
        <w:t xml:space="preserve">3 What the exploratory analysis implies</w:t>
      </w:r>
    </w:p>
    <w:p>
      <w:r>
        <w:t xml:space="preserve">Figure 2 plots building 1319, the building with the most labelled anomalous hours. The labels cover at least three visible patterns: drops to zero, short spikes above the usual range, and long flat stretches, such as those in November and late December. The gap from mid-May to early June has no readings and is not an anomaly. An anomaly is therefore defined by behaviour over several hours, not only by the size of one reading.</w:t>
      </w:r>
    </w:p>
    <w:p>
      <w:pPr>
        <w:keepNext/>
        <w:jc w:val="center"/>
      </w:pPr>
      <w:r>
        <w:rPr>
          <w:noProof/>
        </w:rPr>
        <w:drawing>
          <wp:inline distT="0" distB="0" distL="0" distR="0">
            <wp:extent cx="5669280" cy="18595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02"/>
                    <a:stretch>
                      <a:fillRect/>
                    </a:stretch>
                  </pic:blipFill>
                  <pic:spPr>
                    <a:xfrm>
                      <a:off x="0" y="0"/>
                      <a:ext cx="5669280" cy="1859561"/>
                    </a:xfrm>
                    <a:prstGeom prst="rect">
                      <a:avLst/>
                    </a:prstGeom>
                  </pic:spPr>
                </pic:pic>
              </a:graphicData>
            </a:graphic>
          </wp:inline>
        </w:drawing>
      </w:r>
    </w:p>
    <w:p>
      <w:pPr>
        <w:pStyle w:val="Caption"/>
        <w:ind w:left="792"/>
        <w:jc w:val="center"/>
      </w:pPr>
      <w:r>
        <w:t xml:space="preserve">Figure 2. Building 1319 meter readings during 2016, with labelled anomalies in red.</w:t>
      </w:r>
    </w:p>
    <w:p>
      <w:pPr>
        <w:keepNext/>
      </w:pPr>
      <w:r>
        <w:rPr>
          <w:b/>
        </w:rPr>
        <w:t xml:space="preserve">Table 2. Mean feature values by class, selected features</w:t>
      </w:r>
    </w:p>
    <w:tbl>
      <w:tblPr>
        <w:tblW w:w="0" w:type="auto"/>
        <w:jc w:val="center"/>
        <w:tblLayout w:type="fixed"/>
        <w:tblLook w:val="04A0" w:firstRow="1" w:lastRow="0" w:firstColumn="1" w:lastColumn="0" w:noHBand="0" w:noVBand="1"/>
      </w:tblPr>
      <w:tblGrid>
        <w:gridCol w:w="1500"/>
        <w:gridCol w:w="4300"/>
        <w:gridCol w:w="1400"/>
        <w:gridCol w:w="1400"/>
      </w:tblGrid>
      <w:tr>
        <w:trPr>
          <w:cantSplit/>
          <w:tblHeader/>
          <w:jc w:val="center"/>
        </w:trPr>
        <w:tc>
          <w:tcPr>
            <w:tcW w:w="1500" w:type="dxa"/>
            <w:tcBorders>
              <w:top w:val="single" w:sz="4" w:space="0" w:color="D9D9D9"/>
              <w:left w:val="single" w:sz="4" w:space="0" w:color="D9D9D9"/>
              <w:bottom w:val="single" w:sz="4" w:space="0" w:color="D9D9D9"/>
              <w:right w:val="single" w:sz="4" w:space="0" w:color="D9D9D9"/>
            </w:tcBorders>
            <w:shd w:val="clear" w:color="auto" w:fill="243E55"/>
            <w:tcMar>
              <w:top w:w="75" w:type="dxa"/>
              <w:left w:w="75" w:type="dxa"/>
              <w:bottom w:w="75" w:type="dxa"/>
              <w:right w:w="75" w:type="dxa"/>
            </w:tcMar>
            <w:vAlign w:val="center"/>
          </w:tcPr>
          <w:p>
            <w:pPr>
              <w:spacing w:after="0" w:line="252" w:lineRule="auto"/>
            </w:pPr>
            <w:r>
              <w:rPr>
                <w:b/>
                <w:color w:val="FFFFFF"/>
                <w:sz w:val="18"/>
              </w:rPr>
              <w:t xml:space="preserve">Feature</w:t>
            </w:r>
          </w:p>
        </w:tc>
        <w:tc>
          <w:tcPr>
            <w:tcW w:w="4300" w:type="dxa"/>
            <w:tcBorders>
              <w:top w:val="single" w:sz="4" w:space="0" w:color="D9D9D9"/>
              <w:left w:val="single" w:sz="4" w:space="0" w:color="D9D9D9"/>
              <w:bottom w:val="single" w:sz="4" w:space="0" w:color="D9D9D9"/>
              <w:right w:val="single" w:sz="4" w:space="0" w:color="D9D9D9"/>
            </w:tcBorders>
            <w:shd w:val="clear" w:color="auto" w:fill="243E55"/>
            <w:tcMar>
              <w:top w:w="75" w:type="dxa"/>
              <w:left w:w="75" w:type="dxa"/>
              <w:bottom w:w="75" w:type="dxa"/>
              <w:right w:w="75" w:type="dxa"/>
            </w:tcMar>
            <w:vAlign w:val="center"/>
          </w:tcPr>
          <w:p>
            <w:pPr>
              <w:spacing w:after="0" w:line="252" w:lineRule="auto"/>
            </w:pPr>
            <w:r>
              <w:rPr>
                <w:b/>
                <w:color w:val="FFFFFF"/>
                <w:sz w:val="18"/>
              </w:rPr>
              <w:t xml:space="preserve">Meaning</w:t>
            </w:r>
          </w:p>
        </w:tc>
        <w:tc>
          <w:tcPr>
            <w:tcW w:w="1400" w:type="dxa"/>
            <w:tcBorders>
              <w:top w:val="single" w:sz="4" w:space="0" w:color="D9D9D9"/>
              <w:left w:val="single" w:sz="4" w:space="0" w:color="D9D9D9"/>
              <w:bottom w:val="single" w:sz="4" w:space="0" w:color="D9D9D9"/>
              <w:right w:val="single" w:sz="4" w:space="0" w:color="D9D9D9"/>
            </w:tcBorders>
            <w:shd w:val="clear" w:color="auto" w:fill="243E55"/>
            <w:tcMar>
              <w:top w:w="75" w:type="dxa"/>
              <w:left w:w="75" w:type="dxa"/>
              <w:bottom w:w="75" w:type="dxa"/>
              <w:right w:w="75" w:type="dxa"/>
            </w:tcMar>
            <w:vAlign w:val="center"/>
          </w:tcPr>
          <w:p>
            <w:pPr>
              <w:spacing w:after="0" w:line="252" w:lineRule="auto"/>
              <w:jc w:val="center"/>
            </w:pPr>
            <w:r>
              <w:rPr>
                <w:b/>
                <w:color w:val="FFFFFF"/>
                <w:sz w:val="18"/>
              </w:rPr>
              <w:t xml:space="preserve">Normal (0)</w:t>
            </w:r>
          </w:p>
        </w:tc>
        <w:tc>
          <w:tcPr>
            <w:tcW w:w="1400" w:type="dxa"/>
            <w:tcBorders>
              <w:top w:val="single" w:sz="4" w:space="0" w:color="D9D9D9"/>
              <w:left w:val="single" w:sz="4" w:space="0" w:color="D9D9D9"/>
              <w:bottom w:val="single" w:sz="4" w:space="0" w:color="D9D9D9"/>
              <w:right w:val="single" w:sz="4" w:space="0" w:color="D9D9D9"/>
            </w:tcBorders>
            <w:shd w:val="clear" w:color="auto" w:fill="243E55"/>
            <w:tcMar>
              <w:top w:w="75" w:type="dxa"/>
              <w:left w:w="75" w:type="dxa"/>
              <w:bottom w:w="75" w:type="dxa"/>
              <w:right w:w="75" w:type="dxa"/>
            </w:tcMar>
            <w:vAlign w:val="center"/>
          </w:tcPr>
          <w:p>
            <w:pPr>
              <w:spacing w:after="0" w:line="252" w:lineRule="auto"/>
              <w:jc w:val="center"/>
            </w:pPr>
            <w:r>
              <w:rPr>
                <w:b/>
                <w:color w:val="FFFFFF"/>
                <w:sz w:val="18"/>
              </w:rPr>
              <w:t xml:space="preserve">Anomalous (1)</w:t>
            </w:r>
          </w:p>
        </w:tc>
      </w:tr>
      <w:tr>
        <w:trPr>
          <w:cantSplit/>
          <w:jc w:val="center"/>
        </w:trPr>
        <w:tc>
          <w:tcPr>
            <w:tcW w:w="15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pPr>
            <w:r>
              <w:rPr>
                <w:sz w:val="18"/>
              </w:rPr>
              <w:t xml:space="preserve">same_prev</w:t>
            </w:r>
          </w:p>
        </w:tc>
        <w:tc>
          <w:tcPr>
            <w:tcW w:w="43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pPr>
            <w:r>
              <w:rPr>
                <w:sz w:val="18"/>
              </w:rPr>
              <w:t xml:space="preserve">Share of hours equal to the previous hour</w:t>
            </w:r>
          </w:p>
        </w:tc>
        <w:tc>
          <w:tcPr>
            <w:tcW w:w="14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jc w:val="center"/>
            </w:pPr>
            <w:r>
              <w:rPr>
                <w:sz w:val="18"/>
              </w:rPr>
              <w:t xml:space="preserve">0.094</w:t>
            </w:r>
          </w:p>
        </w:tc>
        <w:tc>
          <w:tcPr>
            <w:tcW w:w="14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jc w:val="center"/>
            </w:pPr>
            <w:r>
              <w:rPr>
                <w:sz w:val="18"/>
              </w:rPr>
              <w:t xml:space="preserve">0.620</w:t>
            </w:r>
          </w:p>
        </w:tc>
      </w:tr>
      <w:tr>
        <w:trPr>
          <w:cantSplit/>
          <w:jc w:val="center"/>
        </w:trPr>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pPr>
            <w:r>
              <w:rPr>
                <w:sz w:val="18"/>
              </w:rPr>
              <w:t xml:space="preserve">run_len</w:t>
            </w:r>
          </w:p>
        </w:tc>
        <w:tc>
          <w:tcPr>
            <w:tcW w:w="43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pPr>
            <w:r>
              <w:rPr>
                <w:sz w:val="18"/>
              </w:rPr>
              <w:t xml:space="preserve">Consecutive hours with an unchanged reading</w:t>
            </w:r>
          </w:p>
        </w:tc>
        <w:tc>
          <w:tcPr>
            <w:tcW w:w="14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jc w:val="center"/>
            </w:pPr>
            <w:r>
              <w:rPr>
                <w:sz w:val="18"/>
              </w:rPr>
              <w:t xml:space="preserve">1.302</w:t>
            </w:r>
          </w:p>
        </w:tc>
        <w:tc>
          <w:tcPr>
            <w:tcW w:w="14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jc w:val="center"/>
            </w:pPr>
            <w:r>
              <w:rPr>
                <w:sz w:val="18"/>
              </w:rPr>
              <w:t xml:space="preserve">11.886</w:t>
            </w:r>
          </w:p>
        </w:tc>
      </w:tr>
      <w:tr>
        <w:trPr>
          <w:cantSplit/>
          <w:jc w:val="center"/>
        </w:trPr>
        <w:tc>
          <w:tcPr>
            <w:tcW w:w="15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pPr>
            <w:r>
              <w:rPr>
                <w:sz w:val="18"/>
              </w:rPr>
              <w:t xml:space="preserve">z</w:t>
            </w:r>
          </w:p>
        </w:tc>
        <w:tc>
          <w:tcPr>
            <w:tcW w:w="43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pPr>
            <w:r>
              <w:rPr>
                <w:sz w:val="18"/>
              </w:rPr>
              <w:t xml:space="preserve">Standard deviations from the building mean</w:t>
            </w:r>
          </w:p>
        </w:tc>
        <w:tc>
          <w:tcPr>
            <w:tcW w:w="14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jc w:val="center"/>
            </w:pPr>
            <w:r>
              <w:rPr>
                <w:sz w:val="18"/>
              </w:rPr>
              <w:t xml:space="preserve">0.035</w:t>
            </w:r>
          </w:p>
        </w:tc>
        <w:tc>
          <w:tcPr>
            <w:tcW w:w="14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jc w:val="center"/>
            </w:pPr>
            <w:r>
              <w:rPr>
                <w:sz w:val="18"/>
              </w:rPr>
              <w:t xml:space="preserve">−1.512</w:t>
            </w:r>
          </w:p>
        </w:tc>
      </w:tr>
      <w:tr>
        <w:trPr>
          <w:cantSplit/>
          <w:jc w:val="center"/>
        </w:trPr>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pPr>
            <w:r>
              <w:rPr>
                <w:sz w:val="18"/>
              </w:rPr>
              <w:t xml:space="preserve">ratio_med</w:t>
            </w:r>
          </w:p>
        </w:tc>
        <w:tc>
          <w:tcPr>
            <w:tcW w:w="43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pPr>
            <w:r>
              <w:rPr>
                <w:sz w:val="18"/>
              </w:rPr>
              <w:t xml:space="preserve">Reading divided by the building median</w:t>
            </w:r>
          </w:p>
        </w:tc>
        <w:tc>
          <w:tcPr>
            <w:tcW w:w="14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jc w:val="center"/>
            </w:pPr>
            <w:r>
              <w:rPr>
                <w:sz w:val="18"/>
              </w:rPr>
              <w:t xml:space="preserve">1.204</w:t>
            </w:r>
          </w:p>
        </w:tc>
        <w:tc>
          <w:tcPr>
            <w:tcW w:w="14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jc w:val="center"/>
            </w:pPr>
            <w:r>
              <w:rPr>
                <w:sz w:val="18"/>
              </w:rPr>
              <w:t xml:space="preserve">0.630</w:t>
            </w:r>
          </w:p>
        </w:tc>
      </w:tr>
      <w:tr>
        <w:trPr>
          <w:cantSplit/>
          <w:jc w:val="center"/>
        </w:trPr>
        <w:tc>
          <w:tcPr>
            <w:tcW w:w="15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pPr>
            <w:r>
              <w:rPr>
                <w:sz w:val="18"/>
              </w:rPr>
              <w:t xml:space="preserve">dev_prof</w:t>
            </w:r>
          </w:p>
        </w:tc>
        <w:tc>
          <w:tcPr>
            <w:tcW w:w="43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pPr>
            <w:r>
              <w:rPr>
                <w:sz w:val="18"/>
              </w:rPr>
              <w:t xml:space="preserve">Deviation from the usual hour-of-week level</w:t>
            </w:r>
          </w:p>
        </w:tc>
        <w:tc>
          <w:tcPr>
            <w:tcW w:w="14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jc w:val="center"/>
            </w:pPr>
            <w:r>
              <w:rPr>
                <w:sz w:val="18"/>
              </w:rPr>
              <w:t xml:space="preserve">0.024</w:t>
            </w:r>
          </w:p>
        </w:tc>
        <w:tc>
          <w:tcPr>
            <w:tcW w:w="14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jc w:val="center"/>
            </w:pPr>
            <w:r>
              <w:rPr>
                <w:sz w:val="18"/>
              </w:rPr>
              <w:t xml:space="preserve">−1.487</w:t>
            </w:r>
          </w:p>
        </w:tc>
      </w:tr>
      <w:tr>
        <w:trPr>
          <w:cantSplit/>
          <w:jc w:val="center"/>
        </w:trPr>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pPr>
            <w:r>
              <w:rPr>
                <w:sz w:val="18"/>
              </w:rPr>
              <w:t xml:space="preserve">miss_24</w:t>
            </w:r>
          </w:p>
        </w:tc>
        <w:tc>
          <w:tcPr>
            <w:tcW w:w="43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pPr>
            <w:r>
              <w:rPr>
                <w:sz w:val="18"/>
              </w:rPr>
              <w:t xml:space="preserve">Missing share in the centred 24-hour window</w:t>
            </w:r>
          </w:p>
        </w:tc>
        <w:tc>
          <w:tcPr>
            <w:tcW w:w="14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jc w:val="center"/>
            </w:pPr>
            <w:r>
              <w:rPr>
                <w:sz w:val="18"/>
              </w:rPr>
              <w:t xml:space="preserve">0.003</w:t>
            </w:r>
          </w:p>
        </w:tc>
        <w:tc>
          <w:tcPr>
            <w:tcW w:w="14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jc w:val="center"/>
            </w:pPr>
            <w:r>
              <w:rPr>
                <w:sz w:val="18"/>
              </w:rPr>
              <w:t xml:space="preserve">0.040</w:t>
            </w:r>
          </w:p>
        </w:tc>
      </w:tr>
      <w:tr>
        <w:trPr>
          <w:cantSplit/>
          <w:jc w:val="center"/>
        </w:trPr>
        <w:tc>
          <w:tcPr>
            <w:tcW w:w="15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pPr>
            <w:r>
              <w:rPr>
                <w:sz w:val="18"/>
              </w:rPr>
              <w:t xml:space="preserve">hour</w:t>
            </w:r>
          </w:p>
        </w:tc>
        <w:tc>
          <w:tcPr>
            <w:tcW w:w="43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pPr>
            <w:r>
              <w:rPr>
                <w:sz w:val="18"/>
              </w:rPr>
              <w:t xml:space="preserve">Hour of day</w:t>
            </w:r>
          </w:p>
        </w:tc>
        <w:tc>
          <w:tcPr>
            <w:tcW w:w="14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jc w:val="center"/>
            </w:pPr>
            <w:r>
              <w:rPr>
                <w:sz w:val="18"/>
              </w:rPr>
              <w:t xml:space="preserve">11.509</w:t>
            </w:r>
          </w:p>
        </w:tc>
        <w:tc>
          <w:tcPr>
            <w:tcW w:w="14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jc w:val="center"/>
            </w:pPr>
            <w:r>
              <w:rPr>
                <w:sz w:val="18"/>
              </w:rPr>
              <w:t xml:space="preserve">11.202</w:t>
            </w:r>
          </w:p>
        </w:tc>
      </w:tr>
      <w:tr>
        <w:trPr>
          <w:cantSplit/>
          <w:jc w:val="center"/>
        </w:trPr>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pPr>
            <w:r>
              <w:rPr>
                <w:sz w:val="18"/>
              </w:rPr>
              <w:t xml:space="preserve">wknd</w:t>
            </w:r>
          </w:p>
        </w:tc>
        <w:tc>
          <w:tcPr>
            <w:tcW w:w="43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pPr>
            <w:r>
              <w:rPr>
                <w:sz w:val="18"/>
              </w:rPr>
              <w:t xml:space="preserve">Weekend share</w:t>
            </w:r>
          </w:p>
        </w:tc>
        <w:tc>
          <w:tcPr>
            <w:tcW w:w="14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jc w:val="center"/>
            </w:pPr>
            <w:r>
              <w:rPr>
                <w:sz w:val="18"/>
              </w:rPr>
              <w:t xml:space="preserve">0.286</w:t>
            </w:r>
          </w:p>
        </w:tc>
        <w:tc>
          <w:tcPr>
            <w:tcW w:w="14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jc w:val="center"/>
            </w:pPr>
            <w:r>
              <w:rPr>
                <w:sz w:val="18"/>
              </w:rPr>
              <w:t xml:space="preserve">0.279</w:t>
            </w:r>
          </w:p>
        </w:tc>
      </w:tr>
    </w:tbl>
    <w:p>
      <w:pPr>
        <w:spacing w:after="0"/>
      </w:pPr>
    </w:p>
    <w:p>
      <w:r>
        <w:t xml:space="preserve">Means are taken over the 1,641,841 rows with a reading.</w:t>
      </w:r>
    </w:p>
    <w:p>
      <w:r>
        <w:t xml:space="preserve">The flatline pattern is the clearest single difference. Anomalous hours repeat the previous reading 62.0% of the time, against 9.4% for normal hours, and their average run of unchanged readings is 11.9 hours rather than 1.3. Anomalous readings also sit below their building's usual level, with a mean z-score of −1.512 and a mean ratio to the building median of 0.630, against 1.204 for normal hours. Low and stuck readings dominate the labelled anomalies on average, even though Figure 2 shows that spikes are also labelled.</w:t>
      </w:r>
    </w:p>
    <w:p>
      <w:r>
        <w:t xml:space="preserve">Calendar features barely differ between the classes, so the timing of an hour alone would not identify anomalies. The missing share near anomalous hours is higher (0.040 against 0.003), which is consistent with faults that also interrupt data collection. These are averages and are sensitive to extreme values; Section 7 uses the fitted model to judge which features separate individual hours.</w:t>
      </w:r>
    </w:p>
    <w:p>
      <w:pPr>
        <w:pStyle w:val="Heading1"/>
        <w:pageBreakBefore/>
      </w:pPr>
      <w:r>
        <w:t xml:space="preserve">4 Methodology and leakage-safe validation</w:t>
      </w:r>
    </w:p>
    <w:p>
      <w:r>
        <w:t xml:space="preserve">The test file contains different buildings from the training file, so validation must measure performance on buildings the model has not seen. The notebook uses GroupKFold with building_id as the group, which places each building in exactly one validation fold (scikit-learn, n.d.a). Each fold trains on 160 buildings, about 1.31 million rows, and validates on the other 40, with zero overlap confirmed in every fold. A random split of rows would be misleading: anomalies occur in runs, so hours from the same episode would fall on both sides of the split, and a model could score well by recognising an episode it had already seen.</w:t>
      </w:r>
    </w:p>
    <w:p>
      <w:pPr>
        <w:keepNext/>
      </w:pPr>
      <w:r>
        <w:rPr>
          <w:b/>
        </w:rPr>
        <w:t xml:space="preserve">Table 3. Validation structure used in the notebook</w:t>
      </w:r>
    </w:p>
    <w:tbl>
      <w:tblPr>
        <w:tblW w:w="0" w:type="auto"/>
        <w:jc w:val="center"/>
        <w:tblLayout w:type="fixed"/>
        <w:tblLook w:val="04A0" w:firstRow="1" w:lastRow="0" w:firstColumn="1" w:lastColumn="0" w:noHBand="0" w:noVBand="1"/>
      </w:tblPr>
      <w:tblGrid>
        <w:gridCol w:w="1700"/>
        <w:gridCol w:w="4700"/>
        <w:gridCol w:w="3200"/>
      </w:tblGrid>
      <w:tr>
        <w:trPr>
          <w:cantSplit/>
          <w:tblHeader/>
          <w:jc w:val="center"/>
        </w:trPr>
        <w:tc>
          <w:tcPr>
            <w:tcW w:w="1700" w:type="dxa"/>
            <w:tcBorders>
              <w:top w:val="single" w:sz="4" w:space="0" w:color="D9D9D9"/>
              <w:left w:val="single" w:sz="4" w:space="0" w:color="D9D9D9"/>
              <w:bottom w:val="single" w:sz="4" w:space="0" w:color="D9D9D9"/>
              <w:right w:val="single" w:sz="4" w:space="0" w:color="D9D9D9"/>
            </w:tcBorders>
            <w:shd w:val="clear" w:color="auto" w:fill="243E55"/>
            <w:tcMar>
              <w:top w:w="75" w:type="dxa"/>
              <w:left w:w="75" w:type="dxa"/>
              <w:bottom w:w="75" w:type="dxa"/>
              <w:right w:w="75" w:type="dxa"/>
            </w:tcMar>
            <w:vAlign w:val="center"/>
          </w:tcPr>
          <w:p>
            <w:pPr>
              <w:spacing w:after="0" w:line="252" w:lineRule="auto"/>
            </w:pPr>
            <w:r>
              <w:rPr>
                <w:b/>
                <w:color w:val="FFFFFF"/>
                <w:sz w:val="18"/>
              </w:rPr>
              <w:t xml:space="preserve">Stage</w:t>
            </w:r>
          </w:p>
        </w:tc>
        <w:tc>
          <w:tcPr>
            <w:tcW w:w="4700" w:type="dxa"/>
            <w:tcBorders>
              <w:top w:val="single" w:sz="4" w:space="0" w:color="D9D9D9"/>
              <w:left w:val="single" w:sz="4" w:space="0" w:color="D9D9D9"/>
              <w:bottom w:val="single" w:sz="4" w:space="0" w:color="D9D9D9"/>
              <w:right w:val="single" w:sz="4" w:space="0" w:color="D9D9D9"/>
            </w:tcBorders>
            <w:shd w:val="clear" w:color="auto" w:fill="243E55"/>
            <w:tcMar>
              <w:top w:w="75" w:type="dxa"/>
              <w:left w:w="75" w:type="dxa"/>
              <w:bottom w:w="75" w:type="dxa"/>
              <w:right w:w="75" w:type="dxa"/>
            </w:tcMar>
            <w:vAlign w:val="center"/>
          </w:tcPr>
          <w:p>
            <w:pPr>
              <w:spacing w:after="0" w:line="252" w:lineRule="auto"/>
            </w:pPr>
            <w:r>
              <w:rPr>
                <w:b/>
                <w:color w:val="FFFFFF"/>
                <w:sz w:val="18"/>
              </w:rPr>
              <w:t xml:space="preserve">Data used</w:t>
            </w:r>
          </w:p>
        </w:tc>
        <w:tc>
          <w:tcPr>
            <w:tcW w:w="3200" w:type="dxa"/>
            <w:tcBorders>
              <w:top w:val="single" w:sz="4" w:space="0" w:color="D9D9D9"/>
              <w:left w:val="single" w:sz="4" w:space="0" w:color="D9D9D9"/>
              <w:bottom w:val="single" w:sz="4" w:space="0" w:color="D9D9D9"/>
              <w:right w:val="single" w:sz="4" w:space="0" w:color="D9D9D9"/>
            </w:tcBorders>
            <w:shd w:val="clear" w:color="auto" w:fill="243E55"/>
            <w:tcMar>
              <w:top w:w="75" w:type="dxa"/>
              <w:left w:w="75" w:type="dxa"/>
              <w:bottom w:w="75" w:type="dxa"/>
              <w:right w:w="75" w:type="dxa"/>
            </w:tcMar>
            <w:vAlign w:val="center"/>
          </w:tcPr>
          <w:p>
            <w:pPr>
              <w:spacing w:after="0" w:line="252" w:lineRule="auto"/>
            </w:pPr>
            <w:r>
              <w:rPr>
                <w:b/>
                <w:color w:val="FFFFFF"/>
                <w:sz w:val="18"/>
              </w:rPr>
              <w:t xml:space="preserve">Purpose</w:t>
            </w:r>
          </w:p>
        </w:tc>
      </w:tr>
      <w:tr>
        <w:trPr>
          <w:cantSplit/>
          <w:jc w:val="center"/>
        </w:trPr>
        <w:tc>
          <w:tcPr>
            <w:tcW w:w="17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pPr>
            <w:r>
              <w:rPr>
                <w:sz w:val="18"/>
              </w:rPr>
              <w:t xml:space="preserve">Outer split</w:t>
            </w:r>
          </w:p>
        </w:tc>
        <w:tc>
          <w:tcPr>
            <w:tcW w:w="47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pPr>
            <w:r>
              <w:rPr>
                <w:sz w:val="18"/>
              </w:rPr>
              <w:t xml:space="preserve">5 folds by building; 160 training and 40 validation buildings per fold</w:t>
            </w:r>
          </w:p>
        </w:tc>
        <w:tc>
          <w:tcPr>
            <w:tcW w:w="32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pPr>
            <w:r>
              <w:rPr>
                <w:sz w:val="18"/>
              </w:rPr>
              <w:t xml:space="preserve">Estimate performance on unseen buildings</w:t>
            </w:r>
          </w:p>
        </w:tc>
      </w:tr>
      <w:tr>
        <w:trPr>
          <w:cantSplit/>
          <w:jc w:val="center"/>
        </w:trPr>
        <w:tc>
          <w:tcPr>
            <w:tcW w:w="17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pPr>
            <w:r>
              <w:rPr>
                <w:sz w:val="18"/>
              </w:rPr>
              <w:t xml:space="preserve">Inner split</w:t>
            </w:r>
          </w:p>
        </w:tc>
        <w:tc>
          <w:tcPr>
            <w:tcW w:w="47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pPr>
            <w:r>
              <w:rPr>
                <w:sz w:val="18"/>
              </w:rPr>
              <w:t xml:space="preserve">Each outer training fold split 80/20 by building (128 and 32 buildings)</w:t>
            </w:r>
          </w:p>
        </w:tc>
        <w:tc>
          <w:tcPr>
            <w:tcW w:w="32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pPr>
            <w:r>
              <w:rPr>
                <w:sz w:val="18"/>
              </w:rPr>
              <w:t xml:space="preserve">Hyperparameter search only</w:t>
            </w:r>
          </w:p>
        </w:tc>
      </w:tr>
      <w:tr>
        <w:trPr>
          <w:cantSplit/>
          <w:jc w:val="center"/>
        </w:trPr>
        <w:tc>
          <w:tcPr>
            <w:tcW w:w="17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pPr>
            <w:r>
              <w:rPr>
                <w:sz w:val="18"/>
              </w:rPr>
              <w:t xml:space="preserve">Search</w:t>
            </w:r>
          </w:p>
        </w:tc>
        <w:tc>
          <w:tcPr>
            <w:tcW w:w="47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pPr>
            <w:r>
              <w:rPr>
                <w:sz w:val="18"/>
              </w:rPr>
              <w:t xml:space="preserve">12 Gaussian-process trials per model per fold; inner training rows subsampled to 300,000</w:t>
            </w:r>
          </w:p>
        </w:tc>
        <w:tc>
          <w:tcPr>
            <w:tcW w:w="32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pPr>
            <w:r>
              <w:rPr>
                <w:sz w:val="18"/>
              </w:rPr>
              <w:t xml:space="preserve">Choose settings by inner-validation PR-AUC</w:t>
            </w:r>
          </w:p>
        </w:tc>
      </w:tr>
      <w:tr>
        <w:trPr>
          <w:cantSplit/>
          <w:jc w:val="center"/>
        </w:trPr>
        <w:tc>
          <w:tcPr>
            <w:tcW w:w="17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pPr>
            <w:r>
              <w:rPr>
                <w:sz w:val="18"/>
              </w:rPr>
              <w:t xml:space="preserve">Outer refit</w:t>
            </w:r>
          </w:p>
        </w:tc>
        <w:tc>
          <w:tcPr>
            <w:tcW w:w="47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pPr>
            <w:r>
              <w:rPr>
                <w:sz w:val="18"/>
              </w:rPr>
              <w:t xml:space="preserve">Chosen settings refitted on the full outer training fold</w:t>
            </w:r>
          </w:p>
        </w:tc>
        <w:tc>
          <w:tcPr>
            <w:tcW w:w="32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pPr>
            <w:r>
              <w:rPr>
                <w:sz w:val="18"/>
              </w:rPr>
              <w:t xml:space="preserve">Score the 40 held-out buildings</w:t>
            </w:r>
          </w:p>
        </w:tc>
      </w:tr>
      <w:tr>
        <w:trPr>
          <w:cantSplit/>
          <w:jc w:val="center"/>
        </w:trPr>
        <w:tc>
          <w:tcPr>
            <w:tcW w:w="17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pPr>
            <w:r>
              <w:rPr>
                <w:sz w:val="18"/>
              </w:rPr>
              <w:t xml:space="preserve">Threshold</w:t>
            </w:r>
          </w:p>
        </w:tc>
        <w:tc>
          <w:tcPr>
            <w:tcW w:w="47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pPr>
            <w:r>
              <w:rPr>
                <w:sz w:val="18"/>
              </w:rPr>
              <w:t xml:space="preserve">Pooled out-of-fold LightGBM scores for 1,641,841 rows</w:t>
            </w:r>
          </w:p>
        </w:tc>
        <w:tc>
          <w:tcPr>
            <w:tcW w:w="32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pPr>
            <w:r>
              <w:rPr>
                <w:sz w:val="18"/>
              </w:rPr>
              <w:t xml:space="preserve">Convert scores to 0 or 1 at maximum F1</w:t>
            </w:r>
          </w:p>
        </w:tc>
      </w:tr>
      <w:tr>
        <w:trPr>
          <w:cantSplit/>
          <w:jc w:val="center"/>
        </w:trPr>
        <w:tc>
          <w:tcPr>
            <w:tcW w:w="17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pPr>
            <w:r>
              <w:rPr>
                <w:sz w:val="18"/>
              </w:rPr>
              <w:t xml:space="preserve">Final model</w:t>
            </w:r>
          </w:p>
        </w:tc>
        <w:tc>
          <w:tcPr>
            <w:tcW w:w="47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pPr>
            <w:r>
              <w:rPr>
                <w:sz w:val="18"/>
              </w:rPr>
              <w:t xml:space="preserve">Fold 2 settings refitted on all 200 buildings</w:t>
            </w:r>
          </w:p>
        </w:tc>
        <w:tc>
          <w:tcPr>
            <w:tcW w:w="32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pPr>
            <w:r>
              <w:rPr>
                <w:sz w:val="18"/>
              </w:rPr>
              <w:t xml:space="preserve">Score test.csv</w:t>
            </w:r>
          </w:p>
        </w:tc>
      </w:tr>
    </w:tbl>
    <w:p>
      <w:pPr>
        <w:spacing w:after="0"/>
      </w:pPr>
    </w:p>
    <w:p>
      <w:r>
        <w:t xml:space="preserve">Each outer fold runs its own search on its training buildings only, so the 40 outer-validation buildings play no part in choosing that fold's settings. This nested design keeps the outer scores from being inflated by tuning on the data used to report them (Cawley and Talbot, 2010).</w:t>
      </w:r>
    </w:p>
    <w:p>
      <w:pPr>
        <w:pStyle w:val="Heading2"/>
      </w:pPr>
      <w:r>
        <w:t xml:space="preserve">How label and building information is kept out</w:t>
      </w:r>
    </w:p>
    <w:p>
      <w:r>
        <w:t xml:space="preserve">Every feature for an hour is built from that building's own readings, never from another building or the label; the notebook asserts that neither row_id nor anomaly is in the feature list. Four features (dev24, rat24, dev168 and rat168) use centred windows that include hours after hour t. This suits the task, which reviews a completed year for each building in the way an auditor would review a finished meter record, but a real-time system would need windows that use past hours only.</w:t>
      </w:r>
    </w:p>
    <w:p>
      <w:pPr>
        <w:pStyle w:val="Heading2"/>
      </w:pPr>
      <w:r>
        <w:t xml:space="preserve">Limits of the evaluation design</w:t>
      </w:r>
    </w:p>
    <w:p>
      <w:r>
        <w:t xml:space="preserve">The threshold is chosen on the same out-of-fold predictions used to report precision, recall and F1, so those figures are mildly optimistic; PR-AUC and ROC-AUC do not depend on a threshold. The final settings come from the fold with the highest outer PR-AUC, so the fold mean remains the fairer estimate for new buildings. Hours are also not independent: the 37,296 labelled hours form far fewer separate episodes, and fold scores depend on which buildings are held out. Finally, the threshold is set on scores from five differently tuned fold models but applied to one model refitted on all buildings, and the notebook does not test that transfer.</w:t>
      </w:r>
    </w:p>
    <w:p>
      <w:pPr>
        <w:pStyle w:val="Heading1"/>
        <w:pageBreakBefore/>
      </w:pPr>
      <w:r>
        <w:t xml:space="preserve">5 Feature engineering and model development</w:t>
      </w:r>
    </w:p>
    <w:p>
      <w:pPr>
        <w:pStyle w:val="Heading2"/>
      </w:pPr>
      <w:r>
        <w:t xml:space="preserve">Features built around the flatline pattern</w:t>
      </w:r>
    </w:p>
    <w:p>
      <w:r>
        <w:t xml:space="preserve">The notebook builds 24 features per building-hour: level relative to the building (z, rz, ratio_med, log_r); the flatline pair (same_prev, run_len); changes from 1, 24 and 168 hours earlier (d1, p1, d24, p24, d168, p168); deviation from local and usual behaviour (dev24, rat24, dev168, rat168, dev_prof, dev_hr); and calendar and data-quality terms (hour, dow, month, doy, wknd, miss_24). The run length is defined as:</w:t>
      </w:r>
    </w:p>
    <w:p>
      <w:pPr>
        <w:spacing w:before="60" w:after="160"/>
        <w:jc w:val="center"/>
      </w:pPr>
      <m:oMathPara>
        <m:oMath>
          <m:sSub>
            <m:e>
              <m:r>
                <m:t xml:space="preserve">r</m:t>
              </m:r>
            </m:e>
            <m:sub>
              <m:r>
                <m:t xml:space="preserve">b,t</m:t>
              </m:r>
            </m:sub>
          </m:sSub>
          <m:r>
            <m:t xml:space="preserve">=</m:t>
          </m:r>
          <m:d>
            <m:dPr>
              <m:begChr m:val="{"/>
              <m:endChr m:val=""/>
            </m:dPr>
            <m:e>
              <m:eqArr>
                <m:e>
                  <m:sSub>
                    <m:e>
                      <m:r>
                        <m:t xml:space="preserve">r</m:t>
                      </m:r>
                    </m:e>
                    <m:sub>
                      <m:r>
                        <m:t xml:space="preserve">b,t−1</m:t>
                      </m:r>
                    </m:sub>
                  </m:sSub>
                  <m:r>
                    <m:t xml:space="preserve">+1,</m:t>
                  </m:r>
                  <m:r>
                    <m:rPr>
                      <m:sty m:val="p"/>
                    </m:rPr>
                    <m:t xml:space="preserve">    if </m:t>
                  </m:r>
                  <m:sSub>
                    <m:e>
                      <m:r>
                        <m:t xml:space="preserve">x</m:t>
                      </m:r>
                    </m:e>
                    <m:sub>
                      <m:r>
                        <m:t xml:space="preserve">b,t</m:t>
                      </m:r>
                    </m:sub>
                  </m:sSub>
                  <m:r>
                    <m:t xml:space="preserve">=</m:t>
                  </m:r>
                  <m:sSub>
                    <m:e>
                      <m:r>
                        <m:t xml:space="preserve">x</m:t>
                      </m:r>
                    </m:e>
                    <m:sub>
                      <m:r>
                        <m:t xml:space="preserve">b,t−1</m:t>
                      </m:r>
                    </m:sub>
                  </m:sSub>
                </m:e>
                <m:e>
                  <m:r>
                    <m:t xml:space="preserve">1,</m:t>
                  </m:r>
                  <m:r>
                    <m:rPr>
                      <m:sty m:val="p"/>
                    </m:rPr>
                    <m:t xml:space="preserve">    otherwise</m:t>
                  </m:r>
                </m:e>
              </m:eqArr>
            </m:e>
          </m:d>
        </m:oMath>
      </m:oMathPara>
    </w:p>
    <w:p>
      <w:r>
        <w:t xml:space="preserve">Here, </w:t>
      </w:r>
      <m:oMath>
        <m:sSub>
          <m:e>
            <m:r>
              <m:t xml:space="preserve">x</m:t>
            </m:r>
          </m:e>
          <m:sub>
            <m:r>
              <m:t xml:space="preserve">b,t</m:t>
            </m:r>
          </m:sub>
        </m:sSub>
      </m:oMath>
      <w:r>
        <w:t xml:space="preserve"> is the reading of building b in hour t, and </w:t>
      </w:r>
      <m:oMath>
        <m:sSub>
          <m:e>
            <m:r>
              <m:t xml:space="preserve">r</m:t>
            </m:r>
          </m:e>
          <m:sub>
            <m:r>
              <m:t xml:space="preserve">b,t</m:t>
            </m:r>
          </m:sub>
        </m:sSub>
      </m:oMath>
      <w:r>
        <w:t xml:space="preserve"> is the number of consecutive hours, up to and including hour t, with an unchanged reading; it is 0 when the reading is missing. same_prev equals 1 exactly when </w:t>
      </w:r>
      <m:oMath>
        <m:sSub>
          <m:e>
            <m:r>
              <m:t xml:space="preserve">r</m:t>
            </m:r>
          </m:e>
          <m:sub>
            <m:r>
              <m:t xml:space="preserve">b,t</m:t>
            </m:r>
          </m:sub>
        </m:sSub>
      </m:oMath>
      <w:r>
        <w:t xml:space="preserve"> is 2 or more, so it adds nothing once run_len is present. Because the count runs backwards, a flatline is only flagged after several hours. Deviation features compare a reading with its surroundings: </w:t>
      </w:r>
      <m:oMath>
        <m:sSub>
          <m:e>
            <m:r>
              <m:rPr>
                <m:sty m:val="p"/>
              </m:rPr>
              <m:t xml:space="preserve">dev</m:t>
            </m:r>
          </m:e>
          <m:sub>
            <m:r>
              <m:t xml:space="preserve">W,t</m:t>
            </m:r>
          </m:sub>
        </m:sSub>
        <m:r>
          <m:t xml:space="preserve">=</m:t>
        </m:r>
        <m:r>
          <m:t xml:space="preserve">(</m:t>
        </m:r>
        <m:sSub>
          <m:e>
            <m:r>
              <m:t xml:space="preserve">x</m:t>
            </m:r>
          </m:e>
          <m:sub>
            <m:r>
              <m:t xml:space="preserve">b,t</m:t>
            </m:r>
          </m:sub>
        </m:sSub>
        <m:r>
          <m:t xml:space="preserve">−</m:t>
        </m:r>
        <m:sSub>
          <m:e>
            <m:r>
              <m:t xml:space="preserve">m</m:t>
            </m:r>
          </m:e>
          <m:sub>
            <m:r>
              <m:t xml:space="preserve">W,t</m:t>
            </m:r>
          </m:sub>
        </m:sSub>
        <m:r>
          <m:t xml:space="preserve">)</m:t>
        </m:r>
        <m:r>
          <m:t xml:space="preserve">/</m:t>
        </m:r>
        <m:sSub>
          <m:e>
            <m:r>
              <m:t xml:space="preserve">s</m:t>
            </m:r>
          </m:e>
          <m:sub>
            <m:r>
              <m:t xml:space="preserve">W,t</m:t>
            </m:r>
          </m:sub>
        </m:sSub>
      </m:oMath>
      <w:r>
        <w:t xml:space="preserve">, where m and s are the centred W-hour rolling mean and standard deviation.</w:t>
      </w:r>
    </w:p>
    <w:p>
      <w:pPr>
        <w:pStyle w:val="Heading2"/>
      </w:pPr>
      <w:r>
        <w:t xml:space="preserve">Isolation Forest scores unusualness without labels</w:t>
      </w:r>
    </w:p>
    <w:p>
      <w:r>
        <w:t xml:space="preserve">Isolation Forest splits the feature space at random and treats hours isolated after few splits as more unusual (Liu, Ting and Zhou, 2008). It does not see the labels, so it tests how far unusualness alone matches the annotated anomalies. Of its four searched settings, contamination only sets the cut-off used by the predict method and does not change score_samples, which the notebook uses as the score (scikit-learn, n.d.b). It has no effect on PR-AUC, so only the number of trees, rows per tree and share of features are effectively tuned.</w:t>
      </w:r>
    </w:p>
    <w:p>
      <w:pPr>
        <w:pStyle w:val="Heading2"/>
      </w:pPr>
      <w:r>
        <w:t xml:space="preserve">LightGBM learns from the labelled anomalies</w:t>
      </w:r>
    </w:p>
    <w:p>
      <w:r>
        <w:t xml:space="preserve">LightGBM builds gradient-boosted trees, each correcting the errors of those before it, and learns from the labels (Ke et al., 2017). The class weight (scale_pos_weight) equals the ratio of normal to anomalous hours in each training fold, about 43 overall, so a missed anomaly costs far more in training than a false alarm. The search covers the learning rate, leaves per tree, minimum rows per leaf, and row and column sampling. Row sampling only takes effect when subsample_freq is above zero, which the notebook leaves at 0 (LightGBM, n.d.), so four settings are effectively tuned.</w:t>
      </w:r>
    </w:p>
    <w:p>
      <w:pPr>
        <w:pStyle w:val="Heading2"/>
      </w:pPr>
      <w:r>
        <w:t xml:space="preserve">Bayesian search replaces hand-picked settings</w:t>
      </w:r>
    </w:p>
    <w:p>
      <w:r>
        <w:t xml:space="preserve">Both searches use a Gaussian-process model with a Matérn kernel and expected improvement, implemented with scikit-learn: four random trials, then eight chosen from a fixed pool of 1,024 candidates (Snoek, Larochelle and Adams, 2012). Twelve trials is a small budget. The inner scores were also a weak guide: fold 1 had the highest inner LightGBM score (0.7854) but the lowest outer PR-AUC (0.6789), because 32 inner-validation buildings give a noisy score.</w:t>
      </w:r>
    </w:p>
    <w:p>
      <w:pPr>
        <w:pStyle w:val="Heading1"/>
        <w:pageBreakBefore/>
      </w:pPr>
      <w:r>
        <w:t xml:space="preserve">6 Model comparison under the same design</w:t>
      </w:r>
    </w:p>
    <w:p>
      <w:r>
        <w:t xml:space="preserve">Every training hour receives one out-of-fold score from each model. Precision is TP / (TP + FP) and recall is TP / (TP + FN), where TP, FP and FN count true positives, false positives and false negatives. PR-AUC is computed as average precision (AP):</w:t>
      </w:r>
    </w:p>
    <w:p>
      <w:pPr>
        <w:spacing w:before="60" w:after="160"/>
        <w:jc w:val="center"/>
      </w:pPr>
      <m:oMathPara>
        <m:oMath>
          <m:r>
            <m:rPr>
              <m:sty m:val="p"/>
            </m:rPr>
            <m:t xml:space="preserve">AP</m:t>
          </m:r>
          <m:r>
            <m:t xml:space="preserve">=</m:t>
          </m:r>
          <m:nary>
            <m:naryPr>
              <m:chr m:val="∑"/>
              <m:limLoc m:val="undOvr"/>
              <m:supHide m:val="1"/>
            </m:naryPr>
            <m:sub>
              <m:r>
                <m:t xml:space="preserve">n</m:t>
              </m:r>
            </m:sub>
            <m:sup/>
            <m:e>
              <m:r>
                <m:t xml:space="preserve">(</m:t>
              </m:r>
              <m:sSub>
                <m:e>
                  <m:r>
                    <m:t xml:space="preserve">R</m:t>
                  </m:r>
                </m:e>
                <m:sub>
                  <m:r>
                    <m:t xml:space="preserve">n</m:t>
                  </m:r>
                </m:sub>
              </m:sSub>
              <m:r>
                <m:t xml:space="preserve">−</m:t>
              </m:r>
              <m:sSub>
                <m:e>
                  <m:r>
                    <m:t xml:space="preserve">R</m:t>
                  </m:r>
                </m:e>
                <m:sub>
                  <m:r>
                    <m:t xml:space="preserve">n−1</m:t>
                  </m:r>
                </m:sub>
              </m:sSub>
              <m:r>
                <m:t xml:space="preserve">)</m:t>
              </m:r>
              <m:sSub>
                <m:e>
                  <m:r>
                    <m:t xml:space="preserve">P</m:t>
                  </m:r>
                </m:e>
                <m:sub>
                  <m:r>
                    <m:t xml:space="preserve">n</m:t>
                  </m:r>
                </m:sub>
              </m:sSub>
            </m:e>
          </m:nary>
        </m:oMath>
      </m:oMathPara>
    </w:p>
    <w:p>
      <w:r>
        <w:t xml:space="preserve">Here, hours are ranked by score, n indexes each successive threshold, </w:t>
      </w:r>
      <m:oMath>
        <m:sSub>
          <m:e>
            <m:r>
              <m:t xml:space="preserve">P</m:t>
            </m:r>
          </m:e>
          <m:sub>
            <m:r>
              <m:t xml:space="preserve">n</m:t>
            </m:r>
          </m:sub>
        </m:sSub>
      </m:oMath>
      <w:r>
        <w:t xml:space="preserve"> and </w:t>
      </w:r>
      <m:oMath>
        <m:sSub>
          <m:e>
            <m:r>
              <m:t xml:space="preserve">R</m:t>
            </m:r>
          </m:e>
          <m:sub>
            <m:r>
              <m:t xml:space="preserve">n</m:t>
            </m:r>
          </m:sub>
        </m:sSub>
      </m:oMath>
      <w:r>
        <w:t xml:space="preserve"> are the precision and recall when every hour at or above it is flagged, and </w:t>
      </w:r>
      <m:oMath>
        <m:sSub>
          <m:e>
            <m:r>
              <m:t xml:space="preserve">R</m:t>
            </m:r>
          </m:e>
          <m:sub>
            <m:r>
              <m:t xml:space="preserve">n</m:t>
            </m:r>
          </m:sub>
        </m:sSub>
        <m:r>
          <m:t xml:space="preserve">−</m:t>
        </m:r>
        <m:sSub>
          <m:e>
            <m:r>
              <m:t xml:space="preserve">R</m:t>
            </m:r>
          </m:e>
          <m:sub>
            <m:r>
              <m:t xml:space="preserve">n−1</m:t>
            </m:r>
          </m:sub>
        </m:sSub>
      </m:oMath>
      <w:r>
        <w:t xml:space="preserve"> is the recall added (scikit-learn, n.d.c). A random ranking gives an AP close to the anomaly share, 0.0227. ROC-AUC, the chance that an anomalous hour outscores a normal one, can look high even when many flags are false, so PR-AUC is the main measure (Saito and Rehmsmeier, 2015).</w:t>
      </w:r>
    </w:p>
    <w:p>
      <w:pPr>
        <w:keepNext/>
      </w:pPr>
      <w:r>
        <w:rPr>
          <w:b/>
        </w:rPr>
        <w:t xml:space="preserve">Table 4A. Outer-fold results on 40 held-out buildings per fold</w:t>
      </w:r>
    </w:p>
    <w:tbl>
      <w:tblPr>
        <w:tblW w:w="0" w:type="auto"/>
        <w:jc w:val="center"/>
        <w:tblLayout w:type="fixed"/>
        <w:tblLook w:val="04A0" w:firstRow="1" w:lastRow="0" w:firstColumn="1" w:lastColumn="0" w:noHBand="0" w:noVBand="1"/>
      </w:tblPr>
      <w:tblGrid>
        <w:gridCol w:w="900"/>
        <w:gridCol w:w="1300"/>
        <w:gridCol w:w="1300"/>
        <w:gridCol w:w="1300"/>
        <w:gridCol w:w="1250"/>
        <w:gridCol w:w="1250"/>
        <w:gridCol w:w="1250"/>
      </w:tblGrid>
      <w:tr>
        <w:trPr>
          <w:cantSplit/>
          <w:tblHeader/>
          <w:jc w:val="center"/>
        </w:trPr>
        <w:tc>
          <w:tcPr>
            <w:tcW w:w="900" w:type="dxa"/>
            <w:tcBorders>
              <w:top w:val="single" w:sz="4" w:space="0" w:color="D9D9D9"/>
              <w:left w:val="single" w:sz="4" w:space="0" w:color="D9D9D9"/>
              <w:bottom w:val="single" w:sz="4" w:space="0" w:color="D9D9D9"/>
              <w:right w:val="single" w:sz="4" w:space="0" w:color="D9D9D9"/>
            </w:tcBorders>
            <w:shd w:val="clear" w:color="auto" w:fill="243E55"/>
            <w:tcMar>
              <w:top w:w="75" w:type="dxa"/>
              <w:left w:w="75" w:type="dxa"/>
              <w:bottom w:w="75" w:type="dxa"/>
              <w:right w:w="75" w:type="dxa"/>
            </w:tcMar>
            <w:vAlign w:val="center"/>
          </w:tcPr>
          <w:p>
            <w:pPr>
              <w:spacing w:after="0" w:line="252" w:lineRule="auto"/>
            </w:pPr>
            <w:r>
              <w:rPr>
                <w:b/>
                <w:color w:val="FFFFFF"/>
                <w:sz w:val="18"/>
              </w:rPr>
              <w:t xml:space="preserve">Fold</w:t>
            </w:r>
          </w:p>
        </w:tc>
        <w:tc>
          <w:tcPr>
            <w:tcW w:w="1300" w:type="dxa"/>
            <w:tcBorders>
              <w:top w:val="single" w:sz="4" w:space="0" w:color="D9D9D9"/>
              <w:left w:val="single" w:sz="4" w:space="0" w:color="D9D9D9"/>
              <w:bottom w:val="single" w:sz="4" w:space="0" w:color="D9D9D9"/>
              <w:right w:val="single" w:sz="4" w:space="0" w:color="D9D9D9"/>
            </w:tcBorders>
            <w:shd w:val="clear" w:color="auto" w:fill="243E55"/>
            <w:tcMar>
              <w:top w:w="75" w:type="dxa"/>
              <w:left w:w="75" w:type="dxa"/>
              <w:bottom w:w="75" w:type="dxa"/>
              <w:right w:w="75" w:type="dxa"/>
            </w:tcMar>
            <w:vAlign w:val="center"/>
          </w:tcPr>
          <w:p>
            <w:pPr>
              <w:spacing w:after="0" w:line="252" w:lineRule="auto"/>
              <w:jc w:val="center"/>
            </w:pPr>
            <w:r>
              <w:rPr>
                <w:b/>
                <w:color w:val="FFFFFF"/>
                <w:sz w:val="18"/>
              </w:rPr>
              <w:t xml:space="preserve">LightGBM</w:t>
            </w:r>
            <w:r>
              <w:rPr>
                <w:b/>
                <w:color w:val="FFFFFF"/>
                <w:sz w:val="18"/>
              </w:rPr>
              <w:br/>
            </w:r>
            <w:r>
              <w:rPr>
                <w:b/>
                <w:color w:val="FFFFFF"/>
                <w:sz w:val="18"/>
              </w:rPr>
              <w:t xml:space="preserve">inner AP</w:t>
            </w:r>
          </w:p>
        </w:tc>
        <w:tc>
          <w:tcPr>
            <w:tcW w:w="1300" w:type="dxa"/>
            <w:tcBorders>
              <w:top w:val="single" w:sz="4" w:space="0" w:color="D9D9D9"/>
              <w:left w:val="single" w:sz="4" w:space="0" w:color="D9D9D9"/>
              <w:bottom w:val="single" w:sz="4" w:space="0" w:color="D9D9D9"/>
              <w:right w:val="single" w:sz="4" w:space="0" w:color="D9D9D9"/>
            </w:tcBorders>
            <w:shd w:val="clear" w:color="auto" w:fill="243E55"/>
            <w:tcMar>
              <w:top w:w="75" w:type="dxa"/>
              <w:left w:w="75" w:type="dxa"/>
              <w:bottom w:w="75" w:type="dxa"/>
              <w:right w:w="75" w:type="dxa"/>
            </w:tcMar>
            <w:vAlign w:val="center"/>
          </w:tcPr>
          <w:p>
            <w:pPr>
              <w:spacing w:after="0" w:line="252" w:lineRule="auto"/>
              <w:jc w:val="center"/>
            </w:pPr>
            <w:r>
              <w:rPr>
                <w:b/>
                <w:color w:val="FFFFFF"/>
                <w:sz w:val="18"/>
              </w:rPr>
              <w:t xml:space="preserve">LightGBM</w:t>
            </w:r>
            <w:r>
              <w:rPr>
                <w:b/>
                <w:color w:val="FFFFFF"/>
                <w:sz w:val="18"/>
              </w:rPr>
              <w:br/>
            </w:r>
            <w:r>
              <w:rPr>
                <w:b/>
                <w:color w:val="FFFFFF"/>
                <w:sz w:val="18"/>
              </w:rPr>
              <w:t xml:space="preserve">PR-AUC</w:t>
            </w:r>
          </w:p>
        </w:tc>
        <w:tc>
          <w:tcPr>
            <w:tcW w:w="1300" w:type="dxa"/>
            <w:tcBorders>
              <w:top w:val="single" w:sz="4" w:space="0" w:color="D9D9D9"/>
              <w:left w:val="single" w:sz="4" w:space="0" w:color="D9D9D9"/>
              <w:bottom w:val="single" w:sz="4" w:space="0" w:color="D9D9D9"/>
              <w:right w:val="single" w:sz="4" w:space="0" w:color="D9D9D9"/>
            </w:tcBorders>
            <w:shd w:val="clear" w:color="auto" w:fill="243E55"/>
            <w:tcMar>
              <w:top w:w="75" w:type="dxa"/>
              <w:left w:w="75" w:type="dxa"/>
              <w:bottom w:w="75" w:type="dxa"/>
              <w:right w:w="75" w:type="dxa"/>
            </w:tcMar>
            <w:vAlign w:val="center"/>
          </w:tcPr>
          <w:p>
            <w:pPr>
              <w:spacing w:after="0" w:line="252" w:lineRule="auto"/>
              <w:jc w:val="center"/>
            </w:pPr>
            <w:r>
              <w:rPr>
                <w:b/>
                <w:color w:val="FFFFFF"/>
                <w:sz w:val="18"/>
              </w:rPr>
              <w:t xml:space="preserve">LightGBM</w:t>
            </w:r>
            <w:r>
              <w:rPr>
                <w:b/>
                <w:color w:val="FFFFFF"/>
                <w:sz w:val="18"/>
              </w:rPr>
              <w:br/>
            </w:r>
            <w:r>
              <w:rPr>
                <w:b/>
                <w:color w:val="FFFFFF"/>
                <w:sz w:val="18"/>
              </w:rPr>
              <w:t xml:space="preserve">ROC-AUC</w:t>
            </w:r>
          </w:p>
        </w:tc>
        <w:tc>
          <w:tcPr>
            <w:tcW w:w="1250" w:type="dxa"/>
            <w:tcBorders>
              <w:top w:val="single" w:sz="4" w:space="0" w:color="D9D9D9"/>
              <w:left w:val="single" w:sz="4" w:space="0" w:color="D9D9D9"/>
              <w:bottom w:val="single" w:sz="4" w:space="0" w:color="D9D9D9"/>
              <w:right w:val="single" w:sz="4" w:space="0" w:color="D9D9D9"/>
            </w:tcBorders>
            <w:shd w:val="clear" w:color="auto" w:fill="243E55"/>
            <w:tcMar>
              <w:top w:w="75" w:type="dxa"/>
              <w:left w:w="75" w:type="dxa"/>
              <w:bottom w:w="75" w:type="dxa"/>
              <w:right w:w="75" w:type="dxa"/>
            </w:tcMar>
            <w:vAlign w:val="center"/>
          </w:tcPr>
          <w:p>
            <w:pPr>
              <w:spacing w:after="0" w:line="252" w:lineRule="auto"/>
              <w:jc w:val="center"/>
            </w:pPr>
            <w:r>
              <w:rPr>
                <w:b/>
                <w:color w:val="FFFFFF"/>
                <w:sz w:val="18"/>
              </w:rPr>
              <w:t xml:space="preserve">IF</w:t>
            </w:r>
            <w:r>
              <w:rPr>
                <w:b/>
                <w:color w:val="FFFFFF"/>
                <w:sz w:val="18"/>
              </w:rPr>
              <w:br/>
            </w:r>
            <w:r>
              <w:rPr>
                <w:b/>
                <w:color w:val="FFFFFF"/>
                <w:sz w:val="18"/>
              </w:rPr>
              <w:t xml:space="preserve">inner AP</w:t>
            </w:r>
          </w:p>
        </w:tc>
        <w:tc>
          <w:tcPr>
            <w:tcW w:w="1250" w:type="dxa"/>
            <w:tcBorders>
              <w:top w:val="single" w:sz="4" w:space="0" w:color="D9D9D9"/>
              <w:left w:val="single" w:sz="4" w:space="0" w:color="D9D9D9"/>
              <w:bottom w:val="single" w:sz="4" w:space="0" w:color="D9D9D9"/>
              <w:right w:val="single" w:sz="4" w:space="0" w:color="D9D9D9"/>
            </w:tcBorders>
            <w:shd w:val="clear" w:color="auto" w:fill="243E55"/>
            <w:tcMar>
              <w:top w:w="75" w:type="dxa"/>
              <w:left w:w="75" w:type="dxa"/>
              <w:bottom w:w="75" w:type="dxa"/>
              <w:right w:w="75" w:type="dxa"/>
            </w:tcMar>
            <w:vAlign w:val="center"/>
          </w:tcPr>
          <w:p>
            <w:pPr>
              <w:spacing w:after="0" w:line="252" w:lineRule="auto"/>
              <w:jc w:val="center"/>
            </w:pPr>
            <w:r>
              <w:rPr>
                <w:b/>
                <w:color w:val="FFFFFF"/>
                <w:sz w:val="18"/>
              </w:rPr>
              <w:t xml:space="preserve">IF</w:t>
            </w:r>
            <w:r>
              <w:rPr>
                <w:b/>
                <w:color w:val="FFFFFF"/>
                <w:sz w:val="18"/>
              </w:rPr>
              <w:br/>
            </w:r>
            <w:r>
              <w:rPr>
                <w:b/>
                <w:color w:val="FFFFFF"/>
                <w:sz w:val="18"/>
              </w:rPr>
              <w:t xml:space="preserve">PR-AUC</w:t>
            </w:r>
          </w:p>
        </w:tc>
        <w:tc>
          <w:tcPr>
            <w:tcW w:w="1250" w:type="dxa"/>
            <w:tcBorders>
              <w:top w:val="single" w:sz="4" w:space="0" w:color="D9D9D9"/>
              <w:left w:val="single" w:sz="4" w:space="0" w:color="D9D9D9"/>
              <w:bottom w:val="single" w:sz="4" w:space="0" w:color="D9D9D9"/>
              <w:right w:val="single" w:sz="4" w:space="0" w:color="D9D9D9"/>
            </w:tcBorders>
            <w:shd w:val="clear" w:color="auto" w:fill="243E55"/>
            <w:tcMar>
              <w:top w:w="75" w:type="dxa"/>
              <w:left w:w="75" w:type="dxa"/>
              <w:bottom w:w="75" w:type="dxa"/>
              <w:right w:w="75" w:type="dxa"/>
            </w:tcMar>
            <w:vAlign w:val="center"/>
          </w:tcPr>
          <w:p>
            <w:pPr>
              <w:spacing w:after="0" w:line="252" w:lineRule="auto"/>
              <w:jc w:val="center"/>
            </w:pPr>
            <w:r>
              <w:rPr>
                <w:b/>
                <w:color w:val="FFFFFF"/>
                <w:sz w:val="18"/>
              </w:rPr>
              <w:t xml:space="preserve">IF</w:t>
            </w:r>
            <w:r>
              <w:rPr>
                <w:b/>
                <w:color w:val="FFFFFF"/>
                <w:sz w:val="18"/>
              </w:rPr>
              <w:br/>
            </w:r>
            <w:r>
              <w:rPr>
                <w:b/>
                <w:color w:val="FFFFFF"/>
                <w:sz w:val="18"/>
              </w:rPr>
              <w:t xml:space="preserve">ROC-AUC</w:t>
            </w:r>
          </w:p>
        </w:tc>
      </w:tr>
      <w:tr>
        <w:trPr>
          <w:cantSplit/>
          <w:jc w:val="center"/>
        </w:trPr>
        <w:tc>
          <w:tcPr>
            <w:tcW w:w="9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pPr>
            <w:r>
              <w:rPr>
                <w:sz w:val="18"/>
              </w:rPr>
              <w:t xml:space="preserve">0</w:t>
            </w:r>
          </w:p>
        </w:tc>
        <w:tc>
          <w:tcPr>
            <w:tcW w:w="13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jc w:val="center"/>
            </w:pPr>
            <w:r>
              <w:rPr>
                <w:sz w:val="18"/>
              </w:rPr>
              <w:t xml:space="preserve">0.7178</w:t>
            </w:r>
          </w:p>
        </w:tc>
        <w:tc>
          <w:tcPr>
            <w:tcW w:w="13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jc w:val="center"/>
            </w:pPr>
            <w:r>
              <w:rPr>
                <w:sz w:val="18"/>
              </w:rPr>
              <w:t xml:space="preserve">0.8146</w:t>
            </w:r>
          </w:p>
        </w:tc>
        <w:tc>
          <w:tcPr>
            <w:tcW w:w="13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jc w:val="center"/>
            </w:pPr>
            <w:r>
              <w:rPr>
                <w:sz w:val="18"/>
              </w:rPr>
              <w:t xml:space="preserve">0.9709</w:t>
            </w:r>
          </w:p>
        </w:tc>
        <w:tc>
          <w:tcPr>
            <w:tcW w:w="125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jc w:val="center"/>
            </w:pPr>
            <w:r>
              <w:rPr>
                <w:sz w:val="18"/>
              </w:rPr>
              <w:t xml:space="preserve">0.4221</w:t>
            </w:r>
          </w:p>
        </w:tc>
        <w:tc>
          <w:tcPr>
            <w:tcW w:w="125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jc w:val="center"/>
            </w:pPr>
            <w:r>
              <w:rPr>
                <w:sz w:val="18"/>
              </w:rPr>
              <w:t xml:space="preserve">0.5780</w:t>
            </w:r>
          </w:p>
        </w:tc>
        <w:tc>
          <w:tcPr>
            <w:tcW w:w="125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jc w:val="center"/>
            </w:pPr>
            <w:r>
              <w:rPr>
                <w:sz w:val="18"/>
              </w:rPr>
              <w:t xml:space="preserve">0.9179</w:t>
            </w:r>
          </w:p>
        </w:tc>
      </w:tr>
      <w:tr>
        <w:trPr>
          <w:cantSplit/>
          <w:jc w:val="center"/>
        </w:trPr>
        <w:tc>
          <w:tcPr>
            <w:tcW w:w="9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pPr>
            <w:r>
              <w:rPr>
                <w:sz w:val="18"/>
              </w:rPr>
              <w:t xml:space="preserve">1</w:t>
            </w:r>
          </w:p>
        </w:tc>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jc w:val="center"/>
            </w:pPr>
            <w:r>
              <w:rPr>
                <w:sz w:val="18"/>
              </w:rPr>
              <w:t xml:space="preserve">0.7854</w:t>
            </w:r>
          </w:p>
        </w:tc>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jc w:val="center"/>
            </w:pPr>
            <w:r>
              <w:rPr>
                <w:sz w:val="18"/>
              </w:rPr>
              <w:t xml:space="preserve">0.6789</w:t>
            </w:r>
          </w:p>
        </w:tc>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jc w:val="center"/>
            </w:pPr>
            <w:r>
              <w:rPr>
                <w:sz w:val="18"/>
              </w:rPr>
              <w:t xml:space="preserve">0.9315</w:t>
            </w:r>
          </w:p>
        </w:tc>
        <w:tc>
          <w:tcPr>
            <w:tcW w:w="125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jc w:val="center"/>
            </w:pPr>
            <w:r>
              <w:rPr>
                <w:sz w:val="18"/>
              </w:rPr>
              <w:t xml:space="preserve">0.5286</w:t>
            </w:r>
          </w:p>
        </w:tc>
        <w:tc>
          <w:tcPr>
            <w:tcW w:w="125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jc w:val="center"/>
            </w:pPr>
            <w:r>
              <w:rPr>
                <w:sz w:val="18"/>
              </w:rPr>
              <w:t xml:space="preserve">0.3435</w:t>
            </w:r>
          </w:p>
        </w:tc>
        <w:tc>
          <w:tcPr>
            <w:tcW w:w="125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jc w:val="center"/>
            </w:pPr>
            <w:r>
              <w:rPr>
                <w:sz w:val="18"/>
              </w:rPr>
              <w:t xml:space="preserve">0.8632</w:t>
            </w:r>
          </w:p>
        </w:tc>
      </w:tr>
      <w:tr>
        <w:trPr>
          <w:cantSplit/>
          <w:jc w:val="center"/>
        </w:trPr>
        <w:tc>
          <w:tcPr>
            <w:tcW w:w="9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pPr>
            <w:r>
              <w:rPr>
                <w:sz w:val="18"/>
              </w:rPr>
              <w:t xml:space="preserve">2</w:t>
            </w:r>
          </w:p>
        </w:tc>
        <w:tc>
          <w:tcPr>
            <w:tcW w:w="13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jc w:val="center"/>
            </w:pPr>
            <w:r>
              <w:rPr>
                <w:sz w:val="18"/>
              </w:rPr>
              <w:t xml:space="preserve">0.7332</w:t>
            </w:r>
          </w:p>
        </w:tc>
        <w:tc>
          <w:tcPr>
            <w:tcW w:w="13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jc w:val="center"/>
            </w:pPr>
            <w:r>
              <w:rPr>
                <w:sz w:val="18"/>
              </w:rPr>
              <w:t xml:space="preserve">0.8338</w:t>
            </w:r>
          </w:p>
        </w:tc>
        <w:tc>
          <w:tcPr>
            <w:tcW w:w="13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jc w:val="center"/>
            </w:pPr>
            <w:r>
              <w:rPr>
                <w:sz w:val="18"/>
              </w:rPr>
              <w:t xml:space="preserve">0.9733</w:t>
            </w:r>
          </w:p>
        </w:tc>
        <w:tc>
          <w:tcPr>
            <w:tcW w:w="125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jc w:val="center"/>
            </w:pPr>
            <w:r>
              <w:rPr>
                <w:sz w:val="18"/>
              </w:rPr>
              <w:t xml:space="preserve">0.5287</w:t>
            </w:r>
          </w:p>
        </w:tc>
        <w:tc>
          <w:tcPr>
            <w:tcW w:w="125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jc w:val="center"/>
            </w:pPr>
            <w:r>
              <w:rPr>
                <w:sz w:val="18"/>
              </w:rPr>
              <w:t xml:space="preserve">0.5947</w:t>
            </w:r>
          </w:p>
        </w:tc>
        <w:tc>
          <w:tcPr>
            <w:tcW w:w="125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jc w:val="center"/>
            </w:pPr>
            <w:r>
              <w:rPr>
                <w:sz w:val="18"/>
              </w:rPr>
              <w:t xml:space="preserve">0.9328</w:t>
            </w:r>
          </w:p>
        </w:tc>
      </w:tr>
      <w:tr>
        <w:trPr>
          <w:cantSplit/>
          <w:jc w:val="center"/>
        </w:trPr>
        <w:tc>
          <w:tcPr>
            <w:tcW w:w="9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pPr>
            <w:r>
              <w:rPr>
                <w:sz w:val="18"/>
              </w:rPr>
              <w:t xml:space="preserve">3</w:t>
            </w:r>
          </w:p>
        </w:tc>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jc w:val="center"/>
            </w:pPr>
            <w:r>
              <w:rPr>
                <w:sz w:val="18"/>
              </w:rPr>
              <w:t xml:space="preserve">0.7623</w:t>
            </w:r>
          </w:p>
        </w:tc>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jc w:val="center"/>
            </w:pPr>
            <w:r>
              <w:rPr>
                <w:sz w:val="18"/>
              </w:rPr>
              <w:t xml:space="preserve">0.7445</w:t>
            </w:r>
          </w:p>
        </w:tc>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jc w:val="center"/>
            </w:pPr>
            <w:r>
              <w:rPr>
                <w:sz w:val="18"/>
              </w:rPr>
              <w:t xml:space="preserve">0.9467</w:t>
            </w:r>
          </w:p>
        </w:tc>
        <w:tc>
          <w:tcPr>
            <w:tcW w:w="125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jc w:val="center"/>
            </w:pPr>
            <w:r>
              <w:rPr>
                <w:sz w:val="18"/>
              </w:rPr>
              <w:t xml:space="preserve">0.5073</w:t>
            </w:r>
          </w:p>
        </w:tc>
        <w:tc>
          <w:tcPr>
            <w:tcW w:w="125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jc w:val="center"/>
            </w:pPr>
            <w:r>
              <w:rPr>
                <w:sz w:val="18"/>
              </w:rPr>
              <w:t xml:space="preserve">0.4535</w:t>
            </w:r>
          </w:p>
        </w:tc>
        <w:tc>
          <w:tcPr>
            <w:tcW w:w="125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jc w:val="center"/>
            </w:pPr>
            <w:r>
              <w:rPr>
                <w:sz w:val="18"/>
              </w:rPr>
              <w:t xml:space="preserve">0.8906</w:t>
            </w:r>
          </w:p>
        </w:tc>
      </w:tr>
      <w:tr>
        <w:trPr>
          <w:cantSplit/>
          <w:jc w:val="center"/>
        </w:trPr>
        <w:tc>
          <w:tcPr>
            <w:tcW w:w="9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pPr>
            <w:r>
              <w:rPr>
                <w:sz w:val="18"/>
              </w:rPr>
              <w:t xml:space="preserve">4</w:t>
            </w:r>
          </w:p>
        </w:tc>
        <w:tc>
          <w:tcPr>
            <w:tcW w:w="13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jc w:val="center"/>
            </w:pPr>
            <w:r>
              <w:rPr>
                <w:sz w:val="18"/>
              </w:rPr>
              <w:t xml:space="preserve">0.7677</w:t>
            </w:r>
          </w:p>
        </w:tc>
        <w:tc>
          <w:tcPr>
            <w:tcW w:w="13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jc w:val="center"/>
            </w:pPr>
            <w:r>
              <w:rPr>
                <w:sz w:val="18"/>
              </w:rPr>
              <w:t xml:space="preserve">0.8109</w:t>
            </w:r>
          </w:p>
        </w:tc>
        <w:tc>
          <w:tcPr>
            <w:tcW w:w="13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jc w:val="center"/>
            </w:pPr>
            <w:r>
              <w:rPr>
                <w:sz w:val="18"/>
              </w:rPr>
              <w:t xml:space="preserve">0.9488</w:t>
            </w:r>
          </w:p>
        </w:tc>
        <w:tc>
          <w:tcPr>
            <w:tcW w:w="125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jc w:val="center"/>
            </w:pPr>
            <w:r>
              <w:rPr>
                <w:sz w:val="18"/>
              </w:rPr>
              <w:t xml:space="preserve">0.5277</w:t>
            </w:r>
          </w:p>
        </w:tc>
        <w:tc>
          <w:tcPr>
            <w:tcW w:w="125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jc w:val="center"/>
            </w:pPr>
            <w:r>
              <w:rPr>
                <w:sz w:val="18"/>
              </w:rPr>
              <w:t xml:space="preserve">0.5735</w:t>
            </w:r>
          </w:p>
        </w:tc>
        <w:tc>
          <w:tcPr>
            <w:tcW w:w="125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jc w:val="center"/>
            </w:pPr>
            <w:r>
              <w:rPr>
                <w:sz w:val="18"/>
              </w:rPr>
              <w:t xml:space="preserve">0.8924</w:t>
            </w:r>
          </w:p>
        </w:tc>
      </w:tr>
      <w:tr>
        <w:trPr>
          <w:cantSplit/>
          <w:jc w:val="center"/>
        </w:trPr>
        <w:tc>
          <w:tcPr>
            <w:tcW w:w="9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pPr>
            <w:r>
              <w:rPr>
                <w:b/>
                <w:sz w:val="18"/>
              </w:rPr>
              <w:t xml:space="preserve">Mean</w:t>
            </w:r>
          </w:p>
        </w:tc>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jc w:val="center"/>
            </w:pPr>
            <w:r>
              <w:rPr>
                <w:b/>
                <w:sz w:val="18"/>
              </w:rPr>
              <w:t xml:space="preserve">0.7533</w:t>
            </w:r>
          </w:p>
        </w:tc>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jc w:val="center"/>
            </w:pPr>
            <w:r>
              <w:rPr>
                <w:b/>
                <w:sz w:val="18"/>
              </w:rPr>
              <w:t xml:space="preserve">0.7765</w:t>
            </w:r>
          </w:p>
        </w:tc>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jc w:val="center"/>
            </w:pPr>
            <w:r>
              <w:rPr>
                <w:b/>
                <w:sz w:val="18"/>
              </w:rPr>
              <w:t xml:space="preserve">0.9542</w:t>
            </w:r>
          </w:p>
        </w:tc>
        <w:tc>
          <w:tcPr>
            <w:tcW w:w="125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jc w:val="center"/>
            </w:pPr>
            <w:r>
              <w:rPr>
                <w:b/>
                <w:sz w:val="18"/>
              </w:rPr>
              <w:t xml:space="preserve">0.5029</w:t>
            </w:r>
          </w:p>
        </w:tc>
        <w:tc>
          <w:tcPr>
            <w:tcW w:w="125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jc w:val="center"/>
            </w:pPr>
            <w:r>
              <w:rPr>
                <w:b/>
                <w:sz w:val="18"/>
              </w:rPr>
              <w:t xml:space="preserve">0.5086</w:t>
            </w:r>
          </w:p>
        </w:tc>
        <w:tc>
          <w:tcPr>
            <w:tcW w:w="125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jc w:val="center"/>
            </w:pPr>
            <w:r>
              <w:rPr>
                <w:b/>
                <w:sz w:val="18"/>
              </w:rPr>
              <w:t xml:space="preserve">0.8994</w:t>
            </w:r>
          </w:p>
        </w:tc>
      </w:tr>
    </w:tbl>
    <w:p>
      <w:pPr>
        <w:spacing w:after="0"/>
      </w:pPr>
    </w:p>
    <w:p>
      <w:pPr>
        <w:keepNext/>
      </w:pPr>
      <w:r>
        <w:rPr>
          <w:b/>
        </w:rPr>
        <w:t xml:space="preserve">Table 4B. Summary across folds and comparison with hand-picked settings</w:t>
      </w:r>
    </w:p>
    <w:tbl>
      <w:tblPr>
        <w:tblW w:w="0" w:type="auto"/>
        <w:jc w:val="center"/>
        <w:tblLayout w:type="fixed"/>
        <w:tblLook w:val="04A0" w:firstRow="1" w:lastRow="0" w:firstColumn="1" w:lastColumn="0" w:noHBand="0" w:noVBand="1"/>
      </w:tblPr>
      <w:tblGrid>
        <w:gridCol w:w="2300"/>
        <w:gridCol w:w="1250"/>
        <w:gridCol w:w="1150"/>
        <w:gridCol w:w="1450"/>
        <w:gridCol w:w="1350"/>
        <w:gridCol w:w="1900"/>
      </w:tblGrid>
      <w:tr>
        <w:trPr>
          <w:cantSplit/>
          <w:tblHeader/>
          <w:jc w:val="center"/>
        </w:trPr>
        <w:tc>
          <w:tcPr>
            <w:tcW w:w="2300" w:type="dxa"/>
            <w:tcBorders>
              <w:top w:val="single" w:sz="4" w:space="0" w:color="D9D9D9"/>
              <w:left w:val="single" w:sz="4" w:space="0" w:color="D9D9D9"/>
              <w:bottom w:val="single" w:sz="4" w:space="0" w:color="D9D9D9"/>
              <w:right w:val="single" w:sz="4" w:space="0" w:color="D9D9D9"/>
            </w:tcBorders>
            <w:shd w:val="clear" w:color="auto" w:fill="243E55"/>
            <w:tcMar>
              <w:top w:w="75" w:type="dxa"/>
              <w:left w:w="75" w:type="dxa"/>
              <w:bottom w:w="75" w:type="dxa"/>
              <w:right w:w="75" w:type="dxa"/>
            </w:tcMar>
            <w:vAlign w:val="center"/>
          </w:tcPr>
          <w:p>
            <w:pPr>
              <w:spacing w:after="0" w:line="252" w:lineRule="auto"/>
            </w:pPr>
            <w:r>
              <w:rPr>
                <w:b/>
                <w:color w:val="FFFFFF"/>
                <w:sz w:val="18"/>
              </w:rPr>
              <w:t xml:space="preserve">Model</w:t>
            </w:r>
          </w:p>
        </w:tc>
        <w:tc>
          <w:tcPr>
            <w:tcW w:w="1250" w:type="dxa"/>
            <w:tcBorders>
              <w:top w:val="single" w:sz="4" w:space="0" w:color="D9D9D9"/>
              <w:left w:val="single" w:sz="4" w:space="0" w:color="D9D9D9"/>
              <w:bottom w:val="single" w:sz="4" w:space="0" w:color="D9D9D9"/>
              <w:right w:val="single" w:sz="4" w:space="0" w:color="D9D9D9"/>
            </w:tcBorders>
            <w:shd w:val="clear" w:color="auto" w:fill="243E55"/>
            <w:tcMar>
              <w:top w:w="75" w:type="dxa"/>
              <w:left w:w="75" w:type="dxa"/>
              <w:bottom w:w="75" w:type="dxa"/>
              <w:right w:w="75" w:type="dxa"/>
            </w:tcMar>
            <w:vAlign w:val="center"/>
          </w:tcPr>
          <w:p>
            <w:pPr>
              <w:spacing w:after="0" w:line="252" w:lineRule="auto"/>
              <w:jc w:val="center"/>
            </w:pPr>
            <w:r>
              <w:rPr>
                <w:b/>
                <w:color w:val="FFFFFF"/>
                <w:sz w:val="18"/>
              </w:rPr>
              <w:t xml:space="preserve">Mean</w:t>
            </w:r>
            <w:r>
              <w:rPr>
                <w:b/>
                <w:color w:val="FFFFFF"/>
                <w:sz w:val="18"/>
              </w:rPr>
              <w:br/>
            </w:r>
            <w:r>
              <w:rPr>
                <w:b/>
                <w:color w:val="FFFFFF"/>
                <w:sz w:val="18"/>
              </w:rPr>
              <w:t xml:space="preserve">PR-AUC</w:t>
            </w:r>
          </w:p>
        </w:tc>
        <w:tc>
          <w:tcPr>
            <w:tcW w:w="1150" w:type="dxa"/>
            <w:tcBorders>
              <w:top w:val="single" w:sz="4" w:space="0" w:color="D9D9D9"/>
              <w:left w:val="single" w:sz="4" w:space="0" w:color="D9D9D9"/>
              <w:bottom w:val="single" w:sz="4" w:space="0" w:color="D9D9D9"/>
              <w:right w:val="single" w:sz="4" w:space="0" w:color="D9D9D9"/>
            </w:tcBorders>
            <w:shd w:val="clear" w:color="auto" w:fill="243E55"/>
            <w:tcMar>
              <w:top w:w="75" w:type="dxa"/>
              <w:left w:w="75" w:type="dxa"/>
              <w:bottom w:w="75" w:type="dxa"/>
              <w:right w:w="75" w:type="dxa"/>
            </w:tcMar>
            <w:vAlign w:val="center"/>
          </w:tcPr>
          <w:p>
            <w:pPr>
              <w:spacing w:after="0" w:line="252" w:lineRule="auto"/>
              <w:jc w:val="center"/>
            </w:pPr>
            <w:r>
              <w:rPr>
                <w:b/>
                <w:color w:val="FFFFFF"/>
                <w:sz w:val="18"/>
              </w:rPr>
              <w:t xml:space="preserve">SD</w:t>
            </w:r>
            <w:r>
              <w:rPr>
                <w:b/>
                <w:color w:val="FFFFFF"/>
                <w:sz w:val="18"/>
              </w:rPr>
              <w:br/>
            </w:r>
            <w:r>
              <w:rPr>
                <w:b/>
                <w:color w:val="FFFFFF"/>
                <w:sz w:val="18"/>
              </w:rPr>
              <w:t xml:space="preserve">PR-AUC</w:t>
            </w:r>
          </w:p>
        </w:tc>
        <w:tc>
          <w:tcPr>
            <w:tcW w:w="1450" w:type="dxa"/>
            <w:tcBorders>
              <w:top w:val="single" w:sz="4" w:space="0" w:color="D9D9D9"/>
              <w:left w:val="single" w:sz="4" w:space="0" w:color="D9D9D9"/>
              <w:bottom w:val="single" w:sz="4" w:space="0" w:color="D9D9D9"/>
              <w:right w:val="single" w:sz="4" w:space="0" w:color="D9D9D9"/>
            </w:tcBorders>
            <w:shd w:val="clear" w:color="auto" w:fill="243E55"/>
            <w:tcMar>
              <w:top w:w="75" w:type="dxa"/>
              <w:left w:w="75" w:type="dxa"/>
              <w:bottom w:w="75" w:type="dxa"/>
              <w:right w:w="75" w:type="dxa"/>
            </w:tcMar>
            <w:vAlign w:val="center"/>
          </w:tcPr>
          <w:p>
            <w:pPr>
              <w:spacing w:after="0" w:line="252" w:lineRule="auto"/>
              <w:jc w:val="center"/>
            </w:pPr>
            <w:r>
              <w:rPr>
                <w:b/>
                <w:color w:val="FFFFFF"/>
                <w:sz w:val="18"/>
              </w:rPr>
              <w:t xml:space="preserve">Pooled OOF</w:t>
            </w:r>
            <w:r>
              <w:rPr>
                <w:b/>
                <w:color w:val="FFFFFF"/>
                <w:sz w:val="18"/>
              </w:rPr>
              <w:br/>
            </w:r>
            <w:r>
              <w:rPr>
                <w:b/>
                <w:color w:val="FFFFFF"/>
                <w:sz w:val="18"/>
              </w:rPr>
              <w:t xml:space="preserve">PR-AUC</w:t>
            </w:r>
          </w:p>
        </w:tc>
        <w:tc>
          <w:tcPr>
            <w:tcW w:w="1350" w:type="dxa"/>
            <w:tcBorders>
              <w:top w:val="single" w:sz="4" w:space="0" w:color="D9D9D9"/>
              <w:left w:val="single" w:sz="4" w:space="0" w:color="D9D9D9"/>
              <w:bottom w:val="single" w:sz="4" w:space="0" w:color="D9D9D9"/>
              <w:right w:val="single" w:sz="4" w:space="0" w:color="D9D9D9"/>
            </w:tcBorders>
            <w:shd w:val="clear" w:color="auto" w:fill="243E55"/>
            <w:tcMar>
              <w:top w:w="75" w:type="dxa"/>
              <w:left w:w="75" w:type="dxa"/>
              <w:bottom w:w="75" w:type="dxa"/>
              <w:right w:w="75" w:type="dxa"/>
            </w:tcMar>
            <w:vAlign w:val="center"/>
          </w:tcPr>
          <w:p>
            <w:pPr>
              <w:spacing w:after="0" w:line="252" w:lineRule="auto"/>
              <w:jc w:val="center"/>
            </w:pPr>
            <w:r>
              <w:rPr>
                <w:b/>
                <w:color w:val="FFFFFF"/>
                <w:sz w:val="18"/>
              </w:rPr>
              <w:t xml:space="preserve">Mean</w:t>
            </w:r>
            <w:r>
              <w:rPr>
                <w:b/>
                <w:color w:val="FFFFFF"/>
                <w:sz w:val="18"/>
              </w:rPr>
              <w:br/>
            </w:r>
            <w:r>
              <w:rPr>
                <w:b/>
                <w:color w:val="FFFFFF"/>
                <w:sz w:val="18"/>
              </w:rPr>
              <w:t xml:space="preserve">ROC-AUC</w:t>
            </w:r>
          </w:p>
        </w:tc>
        <w:tc>
          <w:tcPr>
            <w:tcW w:w="1900" w:type="dxa"/>
            <w:tcBorders>
              <w:top w:val="single" w:sz="4" w:space="0" w:color="D9D9D9"/>
              <w:left w:val="single" w:sz="4" w:space="0" w:color="D9D9D9"/>
              <w:bottom w:val="single" w:sz="4" w:space="0" w:color="D9D9D9"/>
              <w:right w:val="single" w:sz="4" w:space="0" w:color="D9D9D9"/>
            </w:tcBorders>
            <w:shd w:val="clear" w:color="auto" w:fill="243E55"/>
            <w:tcMar>
              <w:top w:w="75" w:type="dxa"/>
              <w:left w:w="75" w:type="dxa"/>
              <w:bottom w:w="75" w:type="dxa"/>
              <w:right w:w="75" w:type="dxa"/>
            </w:tcMar>
            <w:vAlign w:val="center"/>
          </w:tcPr>
          <w:p>
            <w:pPr>
              <w:spacing w:after="0" w:line="252" w:lineRule="auto"/>
              <w:jc w:val="center"/>
            </w:pPr>
            <w:r>
              <w:rPr>
                <w:b/>
                <w:color w:val="FFFFFF"/>
                <w:sz w:val="18"/>
              </w:rPr>
              <w:t xml:space="preserve">Hand-picked</w:t>
            </w:r>
            <w:r>
              <w:rPr>
                <w:b/>
                <w:color w:val="FFFFFF"/>
                <w:sz w:val="18"/>
              </w:rPr>
              <w:br/>
            </w:r>
            <w:r>
              <w:rPr>
                <w:b/>
                <w:color w:val="FFFFFF"/>
                <w:sz w:val="18"/>
              </w:rPr>
              <w:t xml:space="preserve">PR-AUC (SD)</w:t>
            </w:r>
          </w:p>
        </w:tc>
      </w:tr>
      <w:tr>
        <w:trPr>
          <w:cantSplit/>
          <w:jc w:val="center"/>
        </w:trPr>
        <w:tc>
          <w:tcPr>
            <w:tcW w:w="23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pPr>
            <w:r>
              <w:rPr>
                <w:sz w:val="18"/>
              </w:rPr>
              <w:t xml:space="preserve">LightGBM (tuned)</w:t>
            </w:r>
          </w:p>
        </w:tc>
        <w:tc>
          <w:tcPr>
            <w:tcW w:w="125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jc w:val="center"/>
            </w:pPr>
            <w:r>
              <w:rPr>
                <w:sz w:val="18"/>
              </w:rPr>
              <w:t xml:space="preserve">0.7765</w:t>
            </w:r>
          </w:p>
        </w:tc>
        <w:tc>
          <w:tcPr>
            <w:tcW w:w="115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jc w:val="center"/>
            </w:pPr>
            <w:r>
              <w:rPr>
                <w:sz w:val="18"/>
              </w:rPr>
              <w:t xml:space="preserve">0.0642</w:t>
            </w:r>
          </w:p>
        </w:tc>
        <w:tc>
          <w:tcPr>
            <w:tcW w:w="145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jc w:val="center"/>
            </w:pPr>
            <w:r>
              <w:rPr>
                <w:sz w:val="18"/>
              </w:rPr>
              <w:t xml:space="preserve">0.7695</w:t>
            </w:r>
          </w:p>
        </w:tc>
        <w:tc>
          <w:tcPr>
            <w:tcW w:w="135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jc w:val="center"/>
            </w:pPr>
            <w:r>
              <w:rPr>
                <w:sz w:val="18"/>
              </w:rPr>
              <w:t xml:space="preserve">0.9542</w:t>
            </w:r>
          </w:p>
        </w:tc>
        <w:tc>
          <w:tcPr>
            <w:tcW w:w="19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jc w:val="center"/>
            </w:pPr>
            <w:r>
              <w:rPr>
                <w:sz w:val="18"/>
              </w:rPr>
              <w:t xml:space="preserve">0.7799 (0.0616)</w:t>
            </w:r>
          </w:p>
        </w:tc>
      </w:tr>
      <w:tr>
        <w:trPr>
          <w:cantSplit/>
          <w:jc w:val="center"/>
        </w:trPr>
        <w:tc>
          <w:tcPr>
            <w:tcW w:w="23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pPr>
            <w:r>
              <w:rPr>
                <w:sz w:val="18"/>
              </w:rPr>
              <w:t xml:space="preserve">Isolation Forest (tuned)</w:t>
            </w:r>
          </w:p>
        </w:tc>
        <w:tc>
          <w:tcPr>
            <w:tcW w:w="125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jc w:val="center"/>
            </w:pPr>
            <w:r>
              <w:rPr>
                <w:sz w:val="18"/>
              </w:rPr>
              <w:t xml:space="preserve">0.5086</w:t>
            </w:r>
          </w:p>
        </w:tc>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jc w:val="center"/>
            </w:pPr>
            <w:r>
              <w:rPr>
                <w:sz w:val="18"/>
              </w:rPr>
              <w:t xml:space="preserve">0.1081</w:t>
            </w:r>
          </w:p>
        </w:tc>
        <w:tc>
          <w:tcPr>
            <w:tcW w:w="145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jc w:val="center"/>
            </w:pPr>
            <w:r>
              <w:rPr>
                <w:sz w:val="18"/>
              </w:rPr>
              <w:t xml:space="preserve">0.4930</w:t>
            </w:r>
          </w:p>
        </w:tc>
        <w:tc>
          <w:tcPr>
            <w:tcW w:w="135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jc w:val="center"/>
            </w:pPr>
            <w:r>
              <w:rPr>
                <w:sz w:val="18"/>
              </w:rPr>
              <w:t xml:space="preserve">0.8994</w:t>
            </w:r>
          </w:p>
        </w:tc>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jc w:val="center"/>
            </w:pPr>
            <w:r>
              <w:rPr>
                <w:sz w:val="18"/>
              </w:rPr>
              <w:t xml:space="preserve">0.4877 (0.0856)</w:t>
            </w:r>
          </w:p>
        </w:tc>
      </w:tr>
      <w:tr>
        <w:trPr>
          <w:cantSplit/>
          <w:jc w:val="center"/>
        </w:trPr>
        <w:tc>
          <w:tcPr>
            <w:tcW w:w="23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pPr>
            <w:r>
              <w:rPr>
                <w:sz w:val="18"/>
              </w:rPr>
              <w:t xml:space="preserve">Random ranking</w:t>
            </w:r>
          </w:p>
        </w:tc>
        <w:tc>
          <w:tcPr>
            <w:tcW w:w="125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jc w:val="center"/>
            </w:pPr>
            <w:r>
              <w:rPr>
                <w:sz w:val="18"/>
              </w:rPr>
              <w:t xml:space="preserve">0.0227</w:t>
            </w:r>
          </w:p>
        </w:tc>
        <w:tc>
          <w:tcPr>
            <w:tcW w:w="115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jc w:val="center"/>
            </w:pPr>
            <w:r>
              <w:rPr>
                <w:sz w:val="18"/>
              </w:rPr>
              <w:t xml:space="preserve">n/a</w:t>
            </w:r>
          </w:p>
        </w:tc>
        <w:tc>
          <w:tcPr>
            <w:tcW w:w="145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jc w:val="center"/>
            </w:pPr>
            <w:r>
              <w:rPr>
                <w:sz w:val="18"/>
              </w:rPr>
              <w:t xml:space="preserve">0.0227</w:t>
            </w:r>
          </w:p>
        </w:tc>
        <w:tc>
          <w:tcPr>
            <w:tcW w:w="135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jc w:val="center"/>
            </w:pPr>
            <w:r>
              <w:rPr>
                <w:sz w:val="18"/>
              </w:rPr>
              <w:t xml:space="preserve">0.5000</w:t>
            </w:r>
          </w:p>
        </w:tc>
        <w:tc>
          <w:tcPr>
            <w:tcW w:w="19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jc w:val="center"/>
            </w:pPr>
            <w:r>
              <w:rPr>
                <w:sz w:val="18"/>
              </w:rPr>
              <w:t xml:space="preserve">n/a</w:t>
            </w:r>
          </w:p>
        </w:tc>
      </w:tr>
    </w:tbl>
    <w:p>
      <w:pPr>
        <w:spacing w:after="0"/>
      </w:pPr>
    </w:p>
    <w:p>
      <w:r>
        <w:t xml:space="preserve">IF is Isolation Forest and OOF is out-of-fold. Hand-picked scores come from an earlier run and are not recomputed in the saved notebook.</w:t>
      </w:r>
    </w:p>
    <w:p>
      <w:r>
        <w:t xml:space="preserve">LightGBM ranks first on PR-AUC and ROC-AUC in every fold. Its mean PR-AUC is 52.7% higher than that of Isolation Forest and about 34 times the random baseline, and its fold standard deviation is lower (0.0642 against 0.1081). Isolation Forest still scores about 22 times the baseline, so unusualness alone is informative, but without labels it cannot tell which unusual hours the annotators marked.</w:t>
      </w:r>
    </w:p>
    <w:p>
      <w:r>
        <w:t xml:space="preserve">Tuning changed mean PR-AUC by −0.0034 (−0.4%) for LightGBM and +0.0209 (+4.3%) for Isolation Forest, both smaller than one fold standard deviation. Per-fold hand-picked scores are not saved, so a paired test is not possible; the search's value is a documented, repeatable process rather than a proven gain.</w:t>
      </w:r>
    </w:p>
    <w:p>
      <w:pPr>
        <w:pStyle w:val="Heading1"/>
        <w:pageBreakBefore/>
      </w:pPr>
      <w:r>
        <w:t xml:space="preserve">7 Threshold choice and feature diagnostics</w:t>
      </w:r>
    </w:p>
    <w:p>
      <w:pPr>
        <w:keepNext/>
        <w:jc w:val="center"/>
      </w:pPr>
      <w:r>
        <w:rPr>
          <w:noProof/>
        </w:rPr>
        <w:drawing>
          <wp:inline distT="0" distB="0" distL="0" distR="0">
            <wp:extent cx="2834640" cy="21259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3"/>
                    <a:stretch>
                      <a:fillRect/>
                    </a:stretch>
                  </pic:blipFill>
                  <pic:spPr>
                    <a:xfrm>
                      <a:off x="0" y="0"/>
                      <a:ext cx="2834640" cy="2125980"/>
                    </a:xfrm>
                    <a:prstGeom prst="rect">
                      <a:avLst/>
                    </a:prstGeom>
                  </pic:spPr>
                </pic:pic>
              </a:graphicData>
            </a:graphic>
          </wp:inline>
        </w:drawing>
      </w:r>
    </w:p>
    <w:p>
      <w:pPr>
        <w:pStyle w:val="Caption"/>
        <w:ind w:left="792"/>
        <w:jc w:val="center"/>
      </w:pPr>
      <w:r>
        <w:t xml:space="preserve">Figure 3. LightGBM feature importance by total gain, top 15 features, refitted on all training data with fold 2 settings.</w:t>
      </w:r>
    </w:p>
    <w:p>
      <w:r>
        <w:t xml:space="preserve">Figure 3 confirms the flatline result. run_len is the largest source of gain, close to three times the next feature, the one-hour percentage change (p1). same_prev is absent because run_len already holds its information, and the two carry 41.5% of total gain. Day of year (doy) ranks fifth, which may reflect dates when faults hit several buildings at once (Section 8); that would not carry over to another year. Gain shows use in the trees, not causation.</w:t>
      </w:r>
    </w:p>
    <w:p>
      <w:pPr>
        <w:pStyle w:val="Heading2"/>
      </w:pPr>
      <w:r>
        <w:t xml:space="preserve">Choosing the decision threshold</w:t>
      </w:r>
    </w:p>
    <w:p>
      <w:r>
        <w:t xml:space="preserve">The threshold is set where F1, the harmonic mean of precision and recall, </w:t>
      </w:r>
      <m:oMath>
        <m:r>
          <m:rPr>
            <m:sty m:val="p"/>
          </m:rPr>
          <m:t xml:space="preserve">F1</m:t>
        </m:r>
        <m:r>
          <m:t xml:space="preserve">=2</m:t>
        </m:r>
        <m:r>
          <m:t xml:space="preserve">PR</m:t>
        </m:r>
        <m:r>
          <m:t xml:space="preserve">/</m:t>
        </m:r>
        <m:r>
          <m:t xml:space="preserve">(P+R)</m:t>
        </m:r>
      </m:oMath>
      <w:r>
        <w:t xml:space="preserve">, is highest on the pooled out-of-fold scores. Table 5 compares that choice with the default of 0.5.</w:t>
      </w:r>
    </w:p>
    <w:p>
      <w:pPr>
        <w:keepNext/>
      </w:pPr>
      <w:r>
        <w:rPr>
          <w:b/>
        </w:rPr>
        <w:t xml:space="preserve">Table 5A. LightGBM out-of-fold performance at two thresholds</w:t>
      </w:r>
    </w:p>
    <w:tbl>
      <w:tblPr>
        <w:tblW w:w="0" w:type="auto"/>
        <w:jc w:val="center"/>
        <w:tblLayout w:type="fixed"/>
        <w:tblLook w:val="04A0" w:firstRow="1" w:lastRow="0" w:firstColumn="1" w:lastColumn="0" w:noHBand="0" w:noVBand="1"/>
      </w:tblPr>
      <w:tblGrid>
        <w:gridCol w:w="2600"/>
        <w:gridCol w:w="1400"/>
        <w:gridCol w:w="1400"/>
        <w:gridCol w:w="1400"/>
      </w:tblGrid>
      <w:tr>
        <w:trPr>
          <w:cantSplit/>
          <w:tblHeader/>
          <w:jc w:val="center"/>
        </w:trPr>
        <w:tc>
          <w:tcPr>
            <w:tcW w:w="2600" w:type="dxa"/>
            <w:tcBorders>
              <w:top w:val="single" w:sz="4" w:space="0" w:color="D9D9D9"/>
              <w:left w:val="single" w:sz="4" w:space="0" w:color="D9D9D9"/>
              <w:bottom w:val="single" w:sz="4" w:space="0" w:color="D9D9D9"/>
              <w:right w:val="single" w:sz="4" w:space="0" w:color="D9D9D9"/>
            </w:tcBorders>
            <w:shd w:val="clear" w:color="auto" w:fill="243E55"/>
            <w:tcMar>
              <w:top w:w="75" w:type="dxa"/>
              <w:left w:w="75" w:type="dxa"/>
              <w:bottom w:w="75" w:type="dxa"/>
              <w:right w:w="75" w:type="dxa"/>
            </w:tcMar>
            <w:vAlign w:val="center"/>
          </w:tcPr>
          <w:p>
            <w:pPr>
              <w:spacing w:after="0" w:line="252" w:lineRule="auto"/>
            </w:pPr>
            <w:r>
              <w:rPr>
                <w:b/>
                <w:color w:val="FFFFFF"/>
                <w:sz w:val="18"/>
              </w:rPr>
              <w:t xml:space="preserve">Threshold</w:t>
            </w:r>
          </w:p>
        </w:tc>
        <w:tc>
          <w:tcPr>
            <w:tcW w:w="1400" w:type="dxa"/>
            <w:tcBorders>
              <w:top w:val="single" w:sz="4" w:space="0" w:color="D9D9D9"/>
              <w:left w:val="single" w:sz="4" w:space="0" w:color="D9D9D9"/>
              <w:bottom w:val="single" w:sz="4" w:space="0" w:color="D9D9D9"/>
              <w:right w:val="single" w:sz="4" w:space="0" w:color="D9D9D9"/>
            </w:tcBorders>
            <w:shd w:val="clear" w:color="auto" w:fill="243E55"/>
            <w:tcMar>
              <w:top w:w="75" w:type="dxa"/>
              <w:left w:w="75" w:type="dxa"/>
              <w:bottom w:w="75" w:type="dxa"/>
              <w:right w:w="75" w:type="dxa"/>
            </w:tcMar>
            <w:vAlign w:val="center"/>
          </w:tcPr>
          <w:p>
            <w:pPr>
              <w:spacing w:after="0" w:line="252" w:lineRule="auto"/>
              <w:jc w:val="center"/>
            </w:pPr>
            <w:r>
              <w:rPr>
                <w:b/>
                <w:color w:val="FFFFFF"/>
                <w:sz w:val="18"/>
              </w:rPr>
              <w:t xml:space="preserve">Precision</w:t>
            </w:r>
          </w:p>
        </w:tc>
        <w:tc>
          <w:tcPr>
            <w:tcW w:w="1400" w:type="dxa"/>
            <w:tcBorders>
              <w:top w:val="single" w:sz="4" w:space="0" w:color="D9D9D9"/>
              <w:left w:val="single" w:sz="4" w:space="0" w:color="D9D9D9"/>
              <w:bottom w:val="single" w:sz="4" w:space="0" w:color="D9D9D9"/>
              <w:right w:val="single" w:sz="4" w:space="0" w:color="D9D9D9"/>
            </w:tcBorders>
            <w:shd w:val="clear" w:color="auto" w:fill="243E55"/>
            <w:tcMar>
              <w:top w:w="75" w:type="dxa"/>
              <w:left w:w="75" w:type="dxa"/>
              <w:bottom w:w="75" w:type="dxa"/>
              <w:right w:w="75" w:type="dxa"/>
            </w:tcMar>
            <w:vAlign w:val="center"/>
          </w:tcPr>
          <w:p>
            <w:pPr>
              <w:spacing w:after="0" w:line="252" w:lineRule="auto"/>
              <w:jc w:val="center"/>
            </w:pPr>
            <w:r>
              <w:rPr>
                <w:b/>
                <w:color w:val="FFFFFF"/>
                <w:sz w:val="18"/>
              </w:rPr>
              <w:t xml:space="preserve">Recall</w:t>
            </w:r>
          </w:p>
        </w:tc>
        <w:tc>
          <w:tcPr>
            <w:tcW w:w="1400" w:type="dxa"/>
            <w:tcBorders>
              <w:top w:val="single" w:sz="4" w:space="0" w:color="D9D9D9"/>
              <w:left w:val="single" w:sz="4" w:space="0" w:color="D9D9D9"/>
              <w:bottom w:val="single" w:sz="4" w:space="0" w:color="D9D9D9"/>
              <w:right w:val="single" w:sz="4" w:space="0" w:color="D9D9D9"/>
            </w:tcBorders>
            <w:shd w:val="clear" w:color="auto" w:fill="243E55"/>
            <w:tcMar>
              <w:top w:w="75" w:type="dxa"/>
              <w:left w:w="75" w:type="dxa"/>
              <w:bottom w:w="75" w:type="dxa"/>
              <w:right w:w="75" w:type="dxa"/>
            </w:tcMar>
            <w:vAlign w:val="center"/>
          </w:tcPr>
          <w:p>
            <w:pPr>
              <w:spacing w:after="0" w:line="252" w:lineRule="auto"/>
              <w:jc w:val="center"/>
            </w:pPr>
            <w:r>
              <w:rPr>
                <w:b/>
                <w:color w:val="FFFFFF"/>
                <w:sz w:val="18"/>
              </w:rPr>
              <w:t xml:space="preserve">F1</w:t>
            </w:r>
          </w:p>
        </w:tc>
      </w:tr>
      <w:tr>
        <w:trPr>
          <w:cantSplit/>
          <w:jc w:val="center"/>
        </w:trPr>
        <w:tc>
          <w:tcPr>
            <w:tcW w:w="26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pPr>
            <w:r>
              <w:rPr>
                <w:sz w:val="18"/>
              </w:rPr>
              <w:t xml:space="preserve">0.9795 (maximum F1)</w:t>
            </w:r>
          </w:p>
        </w:tc>
        <w:tc>
          <w:tcPr>
            <w:tcW w:w="14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jc w:val="center"/>
            </w:pPr>
            <w:r>
              <w:rPr>
                <w:sz w:val="18"/>
              </w:rPr>
              <w:t xml:space="preserve">0.8603</w:t>
            </w:r>
          </w:p>
        </w:tc>
        <w:tc>
          <w:tcPr>
            <w:tcW w:w="14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jc w:val="center"/>
            </w:pPr>
            <w:r>
              <w:rPr>
                <w:sz w:val="18"/>
              </w:rPr>
              <w:t xml:space="preserve">0.6421</w:t>
            </w:r>
          </w:p>
        </w:tc>
        <w:tc>
          <w:tcPr>
            <w:tcW w:w="14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jc w:val="center"/>
            </w:pPr>
            <w:r>
              <w:rPr>
                <w:sz w:val="18"/>
              </w:rPr>
              <w:t xml:space="preserve">0.7353</w:t>
            </w:r>
          </w:p>
        </w:tc>
      </w:tr>
      <w:tr>
        <w:trPr>
          <w:cantSplit/>
          <w:jc w:val="center"/>
        </w:trPr>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pPr>
            <w:r>
              <w:rPr>
                <w:sz w:val="18"/>
              </w:rPr>
              <w:t xml:space="preserve">0.5000 (default)</w:t>
            </w:r>
          </w:p>
        </w:tc>
        <w:tc>
          <w:tcPr>
            <w:tcW w:w="14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jc w:val="center"/>
            </w:pPr>
            <w:r>
              <w:rPr>
                <w:sz w:val="18"/>
              </w:rPr>
              <w:t xml:space="preserve">0.4430</w:t>
            </w:r>
          </w:p>
        </w:tc>
        <w:tc>
          <w:tcPr>
            <w:tcW w:w="14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jc w:val="center"/>
            </w:pPr>
            <w:r>
              <w:rPr>
                <w:sz w:val="18"/>
              </w:rPr>
              <w:t xml:space="preserve">0.8008</w:t>
            </w:r>
          </w:p>
        </w:tc>
        <w:tc>
          <w:tcPr>
            <w:tcW w:w="14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jc w:val="center"/>
            </w:pPr>
            <w:r>
              <w:rPr>
                <w:sz w:val="18"/>
              </w:rPr>
              <w:t xml:space="preserve">0.5705</w:t>
            </w:r>
          </w:p>
        </w:tc>
      </w:tr>
    </w:tbl>
    <w:p>
      <w:pPr>
        <w:spacing w:after="0"/>
      </w:pPr>
    </w:p>
    <w:p>
      <w:pPr>
        <w:keepNext/>
      </w:pPr>
      <w:r>
        <w:rPr>
          <w:b/>
        </w:rPr>
        <w:t xml:space="preserve">Table 5B. Confusion matrix at the 0.9795 threshold</w:t>
      </w:r>
    </w:p>
    <w:tbl>
      <w:tblPr>
        <w:tblW w:w="0" w:type="auto"/>
        <w:jc w:val="center"/>
        <w:tblLayout w:type="fixed"/>
        <w:tblLook w:val="04A0" w:firstRow="1" w:lastRow="0" w:firstColumn="1" w:lastColumn="0" w:noHBand="0" w:noVBand="1"/>
      </w:tblPr>
      <w:tblGrid>
        <w:gridCol w:w="2200"/>
        <w:gridCol w:w="2000"/>
        <w:gridCol w:w="2000"/>
      </w:tblGrid>
      <w:tr>
        <w:trPr>
          <w:cantSplit/>
          <w:tblHeader/>
          <w:jc w:val="center"/>
        </w:trPr>
        <w:tc>
          <w:tcPr>
            <w:tcW w:w="2200" w:type="dxa"/>
            <w:tcBorders>
              <w:top w:val="single" w:sz="4" w:space="0" w:color="D9D9D9"/>
              <w:left w:val="single" w:sz="4" w:space="0" w:color="D9D9D9"/>
              <w:bottom w:val="single" w:sz="4" w:space="0" w:color="D9D9D9"/>
              <w:right w:val="single" w:sz="4" w:space="0" w:color="D9D9D9"/>
            </w:tcBorders>
            <w:shd w:val="clear" w:color="auto" w:fill="243E55"/>
            <w:tcMar>
              <w:top w:w="75" w:type="dxa"/>
              <w:left w:w="75" w:type="dxa"/>
              <w:bottom w:w="75" w:type="dxa"/>
              <w:right w:w="75" w:type="dxa"/>
            </w:tcMar>
            <w:vAlign w:val="center"/>
          </w:tcPr>
          <w:p>
            <w:pPr>
              <w:spacing w:after="0" w:line="252" w:lineRule="auto"/>
            </w:pPr>
            <w:r>
              <w:rPr>
                <w:b/>
                <w:color w:val="FFFFFF"/>
                <w:sz w:val="18"/>
              </w:rPr>
              <w:t xml:space="preserve"/>
            </w:r>
          </w:p>
        </w:tc>
        <w:tc>
          <w:tcPr>
            <w:tcW w:w="2000" w:type="dxa"/>
            <w:tcBorders>
              <w:top w:val="single" w:sz="4" w:space="0" w:color="D9D9D9"/>
              <w:left w:val="single" w:sz="4" w:space="0" w:color="D9D9D9"/>
              <w:bottom w:val="single" w:sz="4" w:space="0" w:color="D9D9D9"/>
              <w:right w:val="single" w:sz="4" w:space="0" w:color="D9D9D9"/>
            </w:tcBorders>
            <w:shd w:val="clear" w:color="auto" w:fill="243E55"/>
            <w:tcMar>
              <w:top w:w="75" w:type="dxa"/>
              <w:left w:w="75" w:type="dxa"/>
              <w:bottom w:w="75" w:type="dxa"/>
              <w:right w:w="75" w:type="dxa"/>
            </w:tcMar>
            <w:vAlign w:val="center"/>
          </w:tcPr>
          <w:p>
            <w:pPr>
              <w:spacing w:after="0" w:line="252" w:lineRule="auto"/>
              <w:jc w:val="center"/>
            </w:pPr>
            <w:r>
              <w:rPr>
                <w:b/>
                <w:color w:val="FFFFFF"/>
                <w:sz w:val="18"/>
              </w:rPr>
              <w:t xml:space="preserve">Predicted normal</w:t>
            </w:r>
          </w:p>
        </w:tc>
        <w:tc>
          <w:tcPr>
            <w:tcW w:w="2000" w:type="dxa"/>
            <w:tcBorders>
              <w:top w:val="single" w:sz="4" w:space="0" w:color="D9D9D9"/>
              <w:left w:val="single" w:sz="4" w:space="0" w:color="D9D9D9"/>
              <w:bottom w:val="single" w:sz="4" w:space="0" w:color="D9D9D9"/>
              <w:right w:val="single" w:sz="4" w:space="0" w:color="D9D9D9"/>
            </w:tcBorders>
            <w:shd w:val="clear" w:color="auto" w:fill="243E55"/>
            <w:tcMar>
              <w:top w:w="75" w:type="dxa"/>
              <w:left w:w="75" w:type="dxa"/>
              <w:bottom w:w="75" w:type="dxa"/>
              <w:right w:w="75" w:type="dxa"/>
            </w:tcMar>
            <w:vAlign w:val="center"/>
          </w:tcPr>
          <w:p>
            <w:pPr>
              <w:spacing w:after="0" w:line="252" w:lineRule="auto"/>
              <w:jc w:val="center"/>
            </w:pPr>
            <w:r>
              <w:rPr>
                <w:b/>
                <w:color w:val="FFFFFF"/>
                <w:sz w:val="18"/>
              </w:rPr>
              <w:t xml:space="preserve">Predicted anomaly</w:t>
            </w:r>
          </w:p>
        </w:tc>
      </w:tr>
      <w:tr>
        <w:trPr>
          <w:cantSplit/>
          <w:jc w:val="center"/>
        </w:trPr>
        <w:tc>
          <w:tcPr>
            <w:tcW w:w="22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pPr>
            <w:r>
              <w:rPr>
                <w:sz w:val="18"/>
              </w:rPr>
              <w:t xml:space="preserve">Actual normal</w:t>
            </w:r>
          </w:p>
        </w:tc>
        <w:tc>
          <w:tcPr>
            <w:tcW w:w="20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jc w:val="center"/>
            </w:pPr>
            <w:r>
              <w:rPr>
                <w:sz w:val="18"/>
              </w:rPr>
              <w:t xml:space="preserve">1,600,657</w:t>
            </w:r>
          </w:p>
        </w:tc>
        <w:tc>
          <w:tcPr>
            <w:tcW w:w="20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jc w:val="center"/>
            </w:pPr>
            <w:r>
              <w:rPr>
                <w:sz w:val="18"/>
              </w:rPr>
              <w:t xml:space="preserve">3,888</w:t>
            </w:r>
          </w:p>
        </w:tc>
      </w:tr>
      <w:tr>
        <w:trPr>
          <w:cantSplit/>
          <w:jc w:val="center"/>
        </w:trPr>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pPr>
            <w:r>
              <w:rPr>
                <w:sz w:val="18"/>
              </w:rPr>
              <w:t xml:space="preserve">Actual anomaly</w:t>
            </w:r>
          </w:p>
        </w:tc>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jc w:val="center"/>
            </w:pPr>
            <w:r>
              <w:rPr>
                <w:sz w:val="18"/>
              </w:rPr>
              <w:t xml:space="preserve">13,350</w:t>
            </w:r>
          </w:p>
        </w:tc>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jc w:val="center"/>
            </w:pPr>
            <w:r>
              <w:rPr>
                <w:sz w:val="18"/>
              </w:rPr>
              <w:t xml:space="preserve">23,946</w:t>
            </w:r>
          </w:p>
        </w:tc>
      </w:tr>
    </w:tbl>
    <w:p>
      <w:pPr>
        <w:spacing w:after="0"/>
      </w:pPr>
    </w:p>
    <w:p>
      <w:r>
        <w:t xml:space="preserve">Raising the threshold from 0.5 to 0.9795 lifts precision from 0.4430 to 0.8603 and F1 from 0.5705 to 0.7353 at the cost of recall, and flags 27,834 hours (1.70%) against a true anomaly share of 2.27%. The threshold is not a 98% probability: the class weight of about 43 pushes scores upward, so they rank well but are not calibrated. For a facilities team, a false alarm costs inspection time while a missed stuck meter leaves consumption unrecorded or wrongly billed; a team able to review more flags would lower the threshold.</w:t>
      </w:r>
    </w:p>
    <w:p>
      <w:pPr>
        <w:pStyle w:val="Heading1"/>
        <w:pageBreakBefore/>
      </w:pPr>
      <w:r>
        <w:t xml:space="preserve">8 Point anomalies and test-set predictions</w:t>
      </w:r>
    </w:p>
    <w:p>
      <w:r>
        <w:t xml:space="preserve">Table 6 lists the ten labelled anomalies with the highest out-of-fold LightGBM scores and the features that explain them. All ten score 1.000 to three decimals.</w:t>
      </w:r>
    </w:p>
    <w:p>
      <w:pPr>
        <w:keepNext/>
      </w:pPr>
      <w:r>
        <w:rPr>
          <w:b/>
        </w:rPr>
        <w:t xml:space="preserve">Table 6. Ten highest-scoring labelled anomalies</w:t>
      </w:r>
    </w:p>
    <w:tbl>
      <w:tblPr>
        <w:tblW w:w="0" w:type="auto"/>
        <w:jc w:val="center"/>
        <w:tblLayout w:type="fixed"/>
        <w:tblLook w:val="04A0" w:firstRow="1" w:lastRow="0" w:firstColumn="1" w:lastColumn="0" w:noHBand="0" w:noVBand="1"/>
      </w:tblPr>
      <w:tblGrid>
        <w:gridCol w:w="1100"/>
        <w:gridCol w:w="2000"/>
        <w:gridCol w:w="1100"/>
        <w:gridCol w:w="1100"/>
        <w:gridCol w:w="1100"/>
        <w:gridCol w:w="1100"/>
        <w:gridCol w:w="1100"/>
      </w:tblGrid>
      <w:tr>
        <w:trPr>
          <w:cantSplit/>
          <w:tblHeader/>
          <w:jc w:val="center"/>
        </w:trPr>
        <w:tc>
          <w:tcPr>
            <w:tcW w:w="1100" w:type="dxa"/>
            <w:tcBorders>
              <w:top w:val="single" w:sz="4" w:space="0" w:color="D9D9D9"/>
              <w:left w:val="single" w:sz="4" w:space="0" w:color="D9D9D9"/>
              <w:bottom w:val="single" w:sz="4" w:space="0" w:color="D9D9D9"/>
              <w:right w:val="single" w:sz="4" w:space="0" w:color="D9D9D9"/>
            </w:tcBorders>
            <w:shd w:val="clear" w:color="auto" w:fill="243E55"/>
            <w:tcMar>
              <w:top w:w="75" w:type="dxa"/>
              <w:left w:w="75" w:type="dxa"/>
              <w:bottom w:w="75" w:type="dxa"/>
              <w:right w:w="75" w:type="dxa"/>
            </w:tcMar>
            <w:vAlign w:val="center"/>
          </w:tcPr>
          <w:p>
            <w:pPr>
              <w:spacing w:after="0" w:line="252" w:lineRule="auto"/>
              <w:jc w:val="center"/>
            </w:pPr>
            <w:r>
              <w:rPr>
                <w:b/>
                <w:color w:val="FFFFFF"/>
                <w:sz w:val="18"/>
              </w:rPr>
              <w:t xml:space="preserve">Building</w:t>
            </w:r>
          </w:p>
        </w:tc>
        <w:tc>
          <w:tcPr>
            <w:tcW w:w="2000" w:type="dxa"/>
            <w:tcBorders>
              <w:top w:val="single" w:sz="4" w:space="0" w:color="D9D9D9"/>
              <w:left w:val="single" w:sz="4" w:space="0" w:color="D9D9D9"/>
              <w:bottom w:val="single" w:sz="4" w:space="0" w:color="D9D9D9"/>
              <w:right w:val="single" w:sz="4" w:space="0" w:color="D9D9D9"/>
            </w:tcBorders>
            <w:shd w:val="clear" w:color="auto" w:fill="243E55"/>
            <w:tcMar>
              <w:top w:w="75" w:type="dxa"/>
              <w:left w:w="75" w:type="dxa"/>
              <w:bottom w:w="75" w:type="dxa"/>
              <w:right w:w="75" w:type="dxa"/>
            </w:tcMar>
            <w:vAlign w:val="center"/>
          </w:tcPr>
          <w:p>
            <w:pPr>
              <w:spacing w:after="0" w:line="252" w:lineRule="auto"/>
              <w:jc w:val="center"/>
            </w:pPr>
            <w:r>
              <w:rPr>
                <w:b/>
                <w:color w:val="FFFFFF"/>
                <w:sz w:val="18"/>
              </w:rPr>
              <w:t xml:space="preserve">Timestamp</w:t>
            </w:r>
          </w:p>
        </w:tc>
        <w:tc>
          <w:tcPr>
            <w:tcW w:w="1100" w:type="dxa"/>
            <w:tcBorders>
              <w:top w:val="single" w:sz="4" w:space="0" w:color="D9D9D9"/>
              <w:left w:val="single" w:sz="4" w:space="0" w:color="D9D9D9"/>
              <w:bottom w:val="single" w:sz="4" w:space="0" w:color="D9D9D9"/>
              <w:right w:val="single" w:sz="4" w:space="0" w:color="D9D9D9"/>
            </w:tcBorders>
            <w:shd w:val="clear" w:color="auto" w:fill="243E55"/>
            <w:tcMar>
              <w:top w:w="75" w:type="dxa"/>
              <w:left w:w="75" w:type="dxa"/>
              <w:bottom w:w="75" w:type="dxa"/>
              <w:right w:w="75" w:type="dxa"/>
            </w:tcMar>
            <w:vAlign w:val="center"/>
          </w:tcPr>
          <w:p>
            <w:pPr>
              <w:spacing w:after="0" w:line="252" w:lineRule="auto"/>
              <w:jc w:val="center"/>
            </w:pPr>
            <w:r>
              <w:rPr>
                <w:b/>
                <w:color w:val="FFFFFF"/>
                <w:sz w:val="18"/>
              </w:rPr>
              <w:t xml:space="preserve">Reading</w:t>
            </w:r>
          </w:p>
        </w:tc>
        <w:tc>
          <w:tcPr>
            <w:tcW w:w="1100" w:type="dxa"/>
            <w:tcBorders>
              <w:top w:val="single" w:sz="4" w:space="0" w:color="D9D9D9"/>
              <w:left w:val="single" w:sz="4" w:space="0" w:color="D9D9D9"/>
              <w:bottom w:val="single" w:sz="4" w:space="0" w:color="D9D9D9"/>
              <w:right w:val="single" w:sz="4" w:space="0" w:color="D9D9D9"/>
            </w:tcBorders>
            <w:shd w:val="clear" w:color="auto" w:fill="243E55"/>
            <w:tcMar>
              <w:top w:w="75" w:type="dxa"/>
              <w:left w:w="75" w:type="dxa"/>
              <w:bottom w:w="75" w:type="dxa"/>
              <w:right w:w="75" w:type="dxa"/>
            </w:tcMar>
            <w:vAlign w:val="center"/>
          </w:tcPr>
          <w:p>
            <w:pPr>
              <w:spacing w:after="0" w:line="252" w:lineRule="auto"/>
              <w:jc w:val="center"/>
            </w:pPr>
            <w:r>
              <w:rPr>
                <w:b/>
                <w:color w:val="FFFFFF"/>
                <w:sz w:val="18"/>
              </w:rPr>
              <w:t xml:space="preserve">z</w:t>
            </w:r>
          </w:p>
        </w:tc>
        <w:tc>
          <w:tcPr>
            <w:tcW w:w="1100" w:type="dxa"/>
            <w:tcBorders>
              <w:top w:val="single" w:sz="4" w:space="0" w:color="D9D9D9"/>
              <w:left w:val="single" w:sz="4" w:space="0" w:color="D9D9D9"/>
              <w:bottom w:val="single" w:sz="4" w:space="0" w:color="D9D9D9"/>
              <w:right w:val="single" w:sz="4" w:space="0" w:color="D9D9D9"/>
            </w:tcBorders>
            <w:shd w:val="clear" w:color="auto" w:fill="243E55"/>
            <w:tcMar>
              <w:top w:w="75" w:type="dxa"/>
              <w:left w:w="75" w:type="dxa"/>
              <w:bottom w:w="75" w:type="dxa"/>
              <w:right w:w="75" w:type="dxa"/>
            </w:tcMar>
            <w:vAlign w:val="center"/>
          </w:tcPr>
          <w:p>
            <w:pPr>
              <w:spacing w:after="0" w:line="252" w:lineRule="auto"/>
              <w:jc w:val="center"/>
            </w:pPr>
            <w:r>
              <w:rPr>
                <w:b/>
                <w:color w:val="FFFFFF"/>
                <w:sz w:val="18"/>
              </w:rPr>
              <w:t xml:space="preserve">run_len</w:t>
            </w:r>
          </w:p>
        </w:tc>
        <w:tc>
          <w:tcPr>
            <w:tcW w:w="1100" w:type="dxa"/>
            <w:tcBorders>
              <w:top w:val="single" w:sz="4" w:space="0" w:color="D9D9D9"/>
              <w:left w:val="single" w:sz="4" w:space="0" w:color="D9D9D9"/>
              <w:bottom w:val="single" w:sz="4" w:space="0" w:color="D9D9D9"/>
              <w:right w:val="single" w:sz="4" w:space="0" w:color="D9D9D9"/>
            </w:tcBorders>
            <w:shd w:val="clear" w:color="auto" w:fill="243E55"/>
            <w:tcMar>
              <w:top w:w="75" w:type="dxa"/>
              <w:left w:w="75" w:type="dxa"/>
              <w:bottom w:w="75" w:type="dxa"/>
              <w:right w:w="75" w:type="dxa"/>
            </w:tcMar>
            <w:vAlign w:val="center"/>
          </w:tcPr>
          <w:p>
            <w:pPr>
              <w:spacing w:after="0" w:line="252" w:lineRule="auto"/>
              <w:jc w:val="center"/>
            </w:pPr>
            <w:r>
              <w:rPr>
                <w:b/>
                <w:color w:val="FFFFFF"/>
                <w:sz w:val="18"/>
              </w:rPr>
              <w:t xml:space="preserve">dev24</w:t>
            </w:r>
          </w:p>
        </w:tc>
        <w:tc>
          <w:tcPr>
            <w:tcW w:w="1100" w:type="dxa"/>
            <w:tcBorders>
              <w:top w:val="single" w:sz="4" w:space="0" w:color="D9D9D9"/>
              <w:left w:val="single" w:sz="4" w:space="0" w:color="D9D9D9"/>
              <w:bottom w:val="single" w:sz="4" w:space="0" w:color="D9D9D9"/>
              <w:right w:val="single" w:sz="4" w:space="0" w:color="D9D9D9"/>
            </w:tcBorders>
            <w:shd w:val="clear" w:color="auto" w:fill="243E55"/>
            <w:tcMar>
              <w:top w:w="75" w:type="dxa"/>
              <w:left w:w="75" w:type="dxa"/>
              <w:bottom w:w="75" w:type="dxa"/>
              <w:right w:w="75" w:type="dxa"/>
            </w:tcMar>
            <w:vAlign w:val="center"/>
          </w:tcPr>
          <w:p>
            <w:pPr>
              <w:spacing w:after="0" w:line="252" w:lineRule="auto"/>
              <w:jc w:val="center"/>
            </w:pPr>
            <w:r>
              <w:rPr>
                <w:b/>
                <w:color w:val="FFFFFF"/>
                <w:sz w:val="18"/>
              </w:rPr>
              <w:t xml:space="preserve">dev_prof</w:t>
            </w:r>
          </w:p>
        </w:tc>
      </w:tr>
      <w:tr>
        <w:trPr>
          <w:cantSplit/>
          <w:jc w:val="center"/>
        </w:trPr>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jc w:val="center"/>
            </w:pPr>
            <w:r>
              <w:rPr>
                <w:sz w:val="18"/>
              </w:rPr>
              <w:t xml:space="preserve">903</w:t>
            </w:r>
          </w:p>
        </w:tc>
        <w:tc>
          <w:tcPr>
            <w:tcW w:w="20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jc w:val="center"/>
            </w:pPr>
            <w:r>
              <w:rPr>
                <w:sz w:val="18"/>
              </w:rPr>
              <w:t xml:space="preserve">2016-02-24 01:00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jc w:val="center"/>
            </w:pPr>
            <w:r>
              <w:rPr>
                <w:sz w:val="18"/>
              </w:rPr>
              <w:t xml:space="preserve">1.0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jc w:val="center"/>
            </w:pPr>
            <w:r>
              <w:rPr>
                <w:sz w:val="18"/>
              </w:rPr>
              <w:t xml:space="preserve">−8.352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jc w:val="center"/>
            </w:pPr>
            <w:r>
              <w:rPr>
                <w:sz w:val="18"/>
              </w:rPr>
              <w:t xml:space="preserve">15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jc w:val="center"/>
            </w:pPr>
            <w:r>
              <w:rPr>
                <w:sz w:val="18"/>
              </w:rPr>
              <w:t xml:space="preserve">−0.209</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jc w:val="center"/>
            </w:pPr>
            <w:r>
              <w:rPr>
                <w:sz w:val="18"/>
              </w:rPr>
              <w:t xml:space="preserve">−7.924</w:t>
            </w:r>
          </w:p>
        </w:tc>
      </w:tr>
      <w:tr>
        <w:trPr>
          <w:cantSplit/>
          <w:jc w:val="center"/>
        </w:trPr>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jc w:val="center"/>
            </w:pPr>
            <w:r>
              <w:rPr>
                <w:sz w:val="18"/>
              </w:rPr>
              <w:t xml:space="preserve">903</w:t>
            </w:r>
          </w:p>
        </w:tc>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jc w:val="center"/>
            </w:pPr>
            <w:r>
              <w:rPr>
                <w:sz w:val="18"/>
              </w:rPr>
              <w:t xml:space="preserve">2016-02-24 02:00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jc w:val="center"/>
            </w:pPr>
            <w:r>
              <w:rPr>
                <w:sz w:val="18"/>
              </w:rPr>
              <w:t xml:space="preserve">1.0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jc w:val="center"/>
            </w:pPr>
            <w:r>
              <w:rPr>
                <w:sz w:val="18"/>
              </w:rPr>
              <w:t xml:space="preserve">−8.352</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jc w:val="center"/>
            </w:pPr>
            <w:r>
              <w:rPr>
                <w:sz w:val="18"/>
              </w:rPr>
              <w:t xml:space="preserve">16</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jc w:val="center"/>
            </w:pPr>
            <w:r>
              <w:rPr>
                <w:sz w:val="18"/>
              </w:rPr>
              <w:t xml:space="preserve">−0.302</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jc w:val="center"/>
            </w:pPr>
            <w:r>
              <w:rPr>
                <w:sz w:val="18"/>
              </w:rPr>
              <w:t xml:space="preserve">−7.897</w:t>
            </w:r>
          </w:p>
        </w:tc>
      </w:tr>
      <w:tr>
        <w:trPr>
          <w:cantSplit/>
          <w:jc w:val="center"/>
        </w:trPr>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jc w:val="center"/>
            </w:pPr>
            <w:r>
              <w:rPr>
                <w:sz w:val="18"/>
              </w:rPr>
              <w:t xml:space="preserve">903</w:t>
            </w:r>
          </w:p>
        </w:tc>
        <w:tc>
          <w:tcPr>
            <w:tcW w:w="20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jc w:val="center"/>
            </w:pPr>
            <w:r>
              <w:rPr>
                <w:sz w:val="18"/>
              </w:rPr>
              <w:t xml:space="preserve">2016-02-24 03:00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jc w:val="center"/>
            </w:pPr>
            <w:r>
              <w:rPr>
                <w:sz w:val="18"/>
              </w:rPr>
              <w:t xml:space="preserve">1.0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jc w:val="center"/>
            </w:pPr>
            <w:r>
              <w:rPr>
                <w:sz w:val="18"/>
              </w:rPr>
              <w:t xml:space="preserve">−8.352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jc w:val="center"/>
            </w:pPr>
            <w:r>
              <w:rPr>
                <w:sz w:val="18"/>
              </w:rPr>
              <w:t xml:space="preserve">17</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jc w:val="center"/>
            </w:pPr>
            <w:r>
              <w:rPr>
                <w:sz w:val="18"/>
              </w:rPr>
              <w:t xml:space="preserve">−0.379</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jc w:val="center"/>
            </w:pPr>
            <w:r>
              <w:rPr>
                <w:sz w:val="18"/>
              </w:rPr>
              <w:t xml:space="preserve">−7.842</w:t>
            </w:r>
          </w:p>
        </w:tc>
      </w:tr>
      <w:tr>
        <w:trPr>
          <w:cantSplit/>
          <w:jc w:val="center"/>
        </w:trPr>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jc w:val="center"/>
            </w:pPr>
            <w:r>
              <w:rPr>
                <w:sz w:val="18"/>
              </w:rPr>
              <w:t xml:space="preserve">903</w:t>
            </w:r>
          </w:p>
        </w:tc>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jc w:val="center"/>
            </w:pPr>
            <w:r>
              <w:rPr>
                <w:sz w:val="18"/>
              </w:rPr>
              <w:t xml:space="preserve">2016-02-24 04:00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jc w:val="center"/>
            </w:pPr>
            <w:r>
              <w:rPr>
                <w:sz w:val="18"/>
              </w:rPr>
              <w:t xml:space="preserve">1.0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jc w:val="center"/>
            </w:pPr>
            <w:r>
              <w:rPr>
                <w:sz w:val="18"/>
              </w:rPr>
              <w:t xml:space="preserve">−8.352</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jc w:val="center"/>
            </w:pPr>
            <w:r>
              <w:rPr>
                <w:sz w:val="18"/>
              </w:rPr>
              <w:t xml:space="preserve">18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jc w:val="center"/>
            </w:pPr>
            <w:r>
              <w:rPr>
                <w:sz w:val="18"/>
              </w:rPr>
              <w:t xml:space="preserve">−0.449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jc w:val="center"/>
            </w:pPr>
            <w:r>
              <w:rPr>
                <w:sz w:val="18"/>
              </w:rPr>
              <w:t xml:space="preserve">−7.815</w:t>
            </w:r>
          </w:p>
        </w:tc>
      </w:tr>
      <w:tr>
        <w:trPr>
          <w:cantSplit/>
          <w:jc w:val="center"/>
        </w:trPr>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jc w:val="center"/>
            </w:pPr>
            <w:r>
              <w:rPr>
                <w:sz w:val="18"/>
              </w:rPr>
              <w:t xml:space="preserve">903</w:t>
            </w:r>
          </w:p>
        </w:tc>
        <w:tc>
          <w:tcPr>
            <w:tcW w:w="20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jc w:val="center"/>
            </w:pPr>
            <w:r>
              <w:rPr>
                <w:sz w:val="18"/>
              </w:rPr>
              <w:t xml:space="preserve">2016-02-24 05:00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jc w:val="center"/>
            </w:pPr>
            <w:r>
              <w:rPr>
                <w:sz w:val="18"/>
              </w:rPr>
              <w:t xml:space="preserve">1.0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jc w:val="center"/>
            </w:pPr>
            <w:r>
              <w:rPr>
                <w:sz w:val="18"/>
              </w:rPr>
              <w:t xml:space="preserve">−8.352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jc w:val="center"/>
            </w:pPr>
            <w:r>
              <w:rPr>
                <w:sz w:val="18"/>
              </w:rPr>
              <w:t xml:space="preserve">19</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jc w:val="center"/>
            </w:pPr>
            <w:r>
              <w:rPr>
                <w:sz w:val="18"/>
              </w:rPr>
              <w:t xml:space="preserve">−0.515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jc w:val="center"/>
            </w:pPr>
            <w:r>
              <w:rPr>
                <w:sz w:val="18"/>
              </w:rPr>
              <w:t xml:space="preserve">−7.788</w:t>
            </w:r>
          </w:p>
        </w:tc>
      </w:tr>
      <w:tr>
        <w:trPr>
          <w:cantSplit/>
          <w:jc w:val="center"/>
        </w:trPr>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jc w:val="center"/>
            </w:pPr>
            <w:r>
              <w:rPr>
                <w:sz w:val="18"/>
              </w:rPr>
              <w:t xml:space="preserve">879</w:t>
            </w:r>
          </w:p>
        </w:tc>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jc w:val="center"/>
            </w:pPr>
            <w:r>
              <w:rPr>
                <w:sz w:val="18"/>
              </w:rPr>
              <w:t xml:space="preserve">2016-02-24 01:00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jc w:val="center"/>
            </w:pPr>
            <w:r>
              <w:rPr>
                <w:sz w:val="18"/>
              </w:rPr>
              <w:t xml:space="preserve">1.0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jc w:val="center"/>
            </w:pPr>
            <w:r>
              <w:rPr>
                <w:sz w:val="18"/>
              </w:rPr>
              <w:t xml:space="preserve">−7.789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jc w:val="center"/>
            </w:pPr>
            <w:r>
              <w:rPr>
                <w:sz w:val="18"/>
              </w:rPr>
              <w:t xml:space="preserve">15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jc w:val="center"/>
            </w:pPr>
            <w:r>
              <w:rPr>
                <w:sz w:val="18"/>
              </w:rPr>
              <w:t xml:space="preserve">−0.209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jc w:val="center"/>
            </w:pPr>
            <w:r>
              <w:rPr>
                <w:sz w:val="18"/>
              </w:rPr>
              <w:t xml:space="preserve">−7.510</w:t>
            </w:r>
          </w:p>
        </w:tc>
      </w:tr>
      <w:tr>
        <w:trPr>
          <w:cantSplit/>
          <w:jc w:val="center"/>
        </w:trPr>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jc w:val="center"/>
            </w:pPr>
            <w:r>
              <w:rPr>
                <w:sz w:val="18"/>
              </w:rPr>
              <w:t xml:space="preserve">879</w:t>
            </w:r>
          </w:p>
        </w:tc>
        <w:tc>
          <w:tcPr>
            <w:tcW w:w="20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jc w:val="center"/>
            </w:pPr>
            <w:r>
              <w:rPr>
                <w:sz w:val="18"/>
              </w:rPr>
              <w:t xml:space="preserve">2016-02-24 02:00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jc w:val="center"/>
            </w:pPr>
            <w:r>
              <w:rPr>
                <w:sz w:val="18"/>
              </w:rPr>
              <w:t xml:space="preserve">1.0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jc w:val="center"/>
            </w:pPr>
            <w:r>
              <w:rPr>
                <w:sz w:val="18"/>
              </w:rPr>
              <w:t xml:space="preserve">−7.789</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jc w:val="center"/>
            </w:pPr>
            <w:r>
              <w:rPr>
                <w:sz w:val="18"/>
              </w:rPr>
              <w:t xml:space="preserve">16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jc w:val="center"/>
            </w:pPr>
            <w:r>
              <w:rPr>
                <w:sz w:val="18"/>
              </w:rPr>
              <w:t xml:space="preserve">−0.302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jc w:val="center"/>
            </w:pPr>
            <w:r>
              <w:rPr>
                <w:sz w:val="18"/>
              </w:rPr>
              <w:t xml:space="preserve">−7.557</w:t>
            </w:r>
          </w:p>
        </w:tc>
      </w:tr>
      <w:tr>
        <w:trPr>
          <w:cantSplit/>
          <w:jc w:val="center"/>
        </w:trPr>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jc w:val="center"/>
            </w:pPr>
            <w:r>
              <w:rPr>
                <w:sz w:val="18"/>
              </w:rPr>
              <w:t xml:space="preserve">879</w:t>
            </w:r>
          </w:p>
        </w:tc>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jc w:val="center"/>
            </w:pPr>
            <w:r>
              <w:rPr>
                <w:sz w:val="18"/>
              </w:rPr>
              <w:t xml:space="preserve">2016-02-24 03:00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jc w:val="center"/>
            </w:pPr>
            <w:r>
              <w:rPr>
                <w:sz w:val="18"/>
              </w:rPr>
              <w:t xml:space="preserve">1.0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jc w:val="center"/>
            </w:pPr>
            <w:r>
              <w:rPr>
                <w:sz w:val="18"/>
              </w:rPr>
              <w:t xml:space="preserve">−7.789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jc w:val="center"/>
            </w:pPr>
            <w:r>
              <w:rPr>
                <w:sz w:val="18"/>
              </w:rPr>
              <w:t xml:space="preserve">17</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jc w:val="center"/>
            </w:pPr>
            <w:r>
              <w:rPr>
                <w:sz w:val="18"/>
              </w:rPr>
              <w:t xml:space="preserve">−0.379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jc w:val="center"/>
            </w:pPr>
            <w:r>
              <w:rPr>
                <w:sz w:val="18"/>
              </w:rPr>
              <w:t xml:space="preserve">−7.557</w:t>
            </w:r>
          </w:p>
        </w:tc>
      </w:tr>
      <w:tr>
        <w:trPr>
          <w:cantSplit/>
          <w:jc w:val="center"/>
        </w:trPr>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jc w:val="center"/>
            </w:pPr>
            <w:r>
              <w:rPr>
                <w:sz w:val="18"/>
              </w:rPr>
              <w:t xml:space="preserve">879</w:t>
            </w:r>
          </w:p>
        </w:tc>
        <w:tc>
          <w:tcPr>
            <w:tcW w:w="20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jc w:val="center"/>
            </w:pPr>
            <w:r>
              <w:rPr>
                <w:sz w:val="18"/>
              </w:rPr>
              <w:t xml:space="preserve">2016-02-24 04:00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jc w:val="center"/>
            </w:pPr>
            <w:r>
              <w:rPr>
                <w:sz w:val="18"/>
              </w:rPr>
              <w:t xml:space="preserve">1.0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jc w:val="center"/>
            </w:pPr>
            <w:r>
              <w:rPr>
                <w:sz w:val="18"/>
              </w:rPr>
              <w:t xml:space="preserve">−7.789</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jc w:val="center"/>
            </w:pPr>
            <w:r>
              <w:rPr>
                <w:sz w:val="18"/>
              </w:rPr>
              <w:t xml:space="preserve">18</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jc w:val="center"/>
            </w:pPr>
            <w:r>
              <w:rPr>
                <w:sz w:val="18"/>
              </w:rPr>
              <w:t xml:space="preserve">−0.449</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pPr>
              <w:spacing w:after="0" w:line="252" w:lineRule="auto"/>
              <w:jc w:val="center"/>
            </w:pPr>
            <w:r>
              <w:rPr>
                <w:sz w:val="18"/>
              </w:rPr>
              <w:t xml:space="preserve">−7.557</w:t>
            </w:r>
          </w:p>
        </w:tc>
      </w:tr>
      <w:tr>
        <w:trPr>
          <w:cantSplit/>
          <w:jc w:val="center"/>
        </w:trPr>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jc w:val="center"/>
            </w:pPr>
            <w:r>
              <w:rPr>
                <w:sz w:val="18"/>
              </w:rPr>
              <w:t xml:space="preserve">1302</w:t>
            </w:r>
          </w:p>
        </w:tc>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jc w:val="center"/>
            </w:pPr>
            <w:r>
              <w:rPr>
                <w:sz w:val="18"/>
              </w:rPr>
              <w:t xml:space="preserve">2016-01-21 01:00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jc w:val="center"/>
            </w:pPr>
            <w:r>
              <w:rPr>
                <w:sz w:val="18"/>
              </w:rPr>
              <w:t xml:space="preserve">1.0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jc w:val="center"/>
            </w:pPr>
            <w:r>
              <w:rPr>
                <w:sz w:val="18"/>
              </w:rPr>
              <w:t xml:space="preserve">−4.056</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jc w:val="center"/>
            </w:pPr>
            <w:r>
              <w:rPr>
                <w:sz w:val="18"/>
              </w:rPr>
              <w:t xml:space="preserve">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jc w:val="center"/>
            </w:pPr>
            <w:r>
              <w:rPr>
                <w:sz w:val="18"/>
              </w:rPr>
              <w:t xml:space="preserve">−0.755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pPr>
              <w:spacing w:after="0" w:line="252" w:lineRule="auto"/>
              <w:jc w:val="center"/>
            </w:pPr>
            <w:r>
              <w:rPr>
                <w:sz w:val="18"/>
              </w:rPr>
              <w:t xml:space="preserve">−3.786</w:t>
            </w:r>
          </w:p>
        </w:tc>
      </w:tr>
    </w:tbl>
    <w:p>
      <w:pPr>
        <w:spacing w:after="0"/>
      </w:pPr>
    </w:p>
    <w:p>
      <w:r>
        <w:t xml:space="preserve">All ten rows have same_prev = 1.</w:t>
      </w:r>
    </w:p>
    <w:p>
      <w:r>
        <w:t xml:space="preserve">Each reading has been unchanged for 9 to 19 hours and sits 4.1 to 8.4 standard deviations below its building's annual mean and 3.8 to 7.9 below its usual level for that hour of the week. By contrast, dev24 ranges only from −0.21 to −0.76: the centred 24-hour window is dominated by the flat stretch, so each reading looks ordinary against its neighbours. Rolling-window features alone would miss long flatlines, which is why run length and building-level features matter.</w:t>
      </w:r>
    </w:p>
    <w:p>
      <w:r>
        <w:t xml:space="preserve">The ten rows are three episodes, not ten independent events. Buildings 879 and 903 both read exactly 1.0 in every listed hour on 24 February 2016, and their run lengths show that both flat runs began at 11:00 on 23 February; building 1302's began at 17:00 on 20 January. Identical readings and identical dev24 values in two buildings over the same hours point to a shared logging or transmission fault rather than two equipment failures, although the data cannot confirm this. The zeros and spikes in Figure 2 are not represented.</w:t>
      </w:r>
    </w:p>
    <w:p>
      <w:pPr>
        <w:pStyle w:val="Heading2"/>
      </w:pPr>
      <w:r>
        <w:t xml:space="preserve">Test-set predictions</w:t>
      </w:r>
    </w:p>
    <w:p>
      <w:r>
        <w:t xml:space="preserve">The final model uses the fold 2 settings, which had the highest outer PR-AUC, refitted on all 1,641,841 modelled hours. Test hours with a reading (1,705,703) that score at or above 0.9795 are labelled 1, and the 94,864 rows without a reading are labelled 0, since every missing training reading is normal. row_id is used only for the join. The saved anomaly_submission.csv has 1,800,567 rows (row_id, anomaly), and the notebook confirms the row count, unique IDs and binary labels. It flags 1.4280% of test rows, about 1.51% of those with a reading, slightly below the 1.70% flagged out of fold; the gap cannot be checked without test labels.</w:t>
      </w:r>
    </w:p>
    <w:p>
      <w:pPr>
        <w:pStyle w:val="Heading1"/>
        <w:pageBreakBefore/>
      </w:pPr>
      <w:r>
        <w:t xml:space="preserve">9 Interpretation, uncertainty and conclusion</w:t>
      </w:r>
    </w:p>
    <w:p>
      <w:r>
        <w:t xml:space="preserve">A flagged hour is one whose reading resembles the labelled anomalies, most strongly a reading that has stopped changing while sitting far from the building's usual level. In practice, such a pattern can come from a stuck meter register, a data logger repeating its last value during a communication fault, or a genuinely constant load. The first two are data faults that would distort billing, benchmarking and energy-saving analysis; the third is not a fault. The model cannot separate these causes, so flagged hours are candidates for review, not confirmed faults. Finding them still serves the energy-saving goal that motivated the LEAD dataset (Gulati and Arjunan, 2022).</w:t>
      </w:r>
    </w:p>
    <w:p>
      <w:pPr>
        <w:pStyle w:val="Heading2"/>
      </w:pPr>
      <w:r>
        <w:t xml:space="preserve">How to read the scores</w:t>
      </w:r>
    </w:p>
    <w:p>
      <w:r>
        <w:t xml:space="preserve">Model scores are rankings, not probabilities. The threshold of 0.9795 is a cut-off chosen to balance precision and recall on the training buildings, and its F1 of 0.7353 is measured on the same predictions used to choose it. The mean PR-AUC of 0.7765 across held-out buildings is the more reliable summary of how well the model will rank anomalies in new buildings, and the fold range from 0.6789 to 0.8338 shows how much that can vary with the buildings involved.</w:t>
      </w:r>
    </w:p>
    <w:p>
      <w:pPr>
        <w:pStyle w:val="Heading2"/>
      </w:pPr>
      <w:r>
        <w:t xml:space="preserve">Conclusion and limits of the recommendation</w:t>
      </w:r>
    </w:p>
    <w:p>
      <w:r>
        <w:t xml:space="preserve">LightGBM is the most defensible choice among the tested models. It leads on PR-AUC and ROC-AUC in every held-out fold and varies less across folds than Isolation Forest. Isolation Forest is useful as a label-free check, but it recovers far less of the labelled anomaly pattern. The clearest finding is that the run-length feature matters more than the choice of model or the tuning method.</w:t>
      </w:r>
    </w:p>
    <w:p>
      <w:r>
        <w:t xml:space="preserve">Several limits remain. The model learns the annotators' definition of an anomaly, so any hours they missed or mislabelled are learnt as given. Centred windows and full-year building profiles require a completed year of data; a real-time system would need past-only features and may lose accuracy. Date features and the selected settings are tied to 2016 and to these buildings, so performance in another year is untested. Missing test readings are labelled normal by rule rather than by the model. Finally, the search used 12 trials on a 300,000-row subsample, with contamination and row sampling inactive. A wider search could still change the settings, although the small differences in Table 4B suggest that large gains are unlikely.</w:t>
      </w:r>
    </w:p>
    <w:p>
      <w:pPr>
        <w:pStyle w:val="Heading1"/>
        <w:pageBreakBefore/>
      </w:pPr>
      <w:r>
        <w:t xml:space="preserve">References</w:t>
      </w:r>
    </w:p>
    <w:p>
      <w:r>
        <w:rPr>
          <w:sz w:val="20"/>
        </w:rPr>
        <w:t xml:space="preserve">Cawley, G. C. and Talbot, N. L. C. (2010). On over-fitting in model selection and subsequent selection bias in performance evaluation. Journal of Machine Learning Research, 11, pp. 2079–2107.</w:t>
      </w:r>
      <w:r>
        <w:br/>
      </w:r>
      <w:hyperlink r:id="rId201">
        <w:r>
          <w:rPr>
            <w:sz w:val="18"/>
          </w:rPr>
          <w:t>https://www.jmlr.org/papers/v11/cawley10a.html</w:t>
        </w:r>
      </w:hyperlink>
    </w:p>
    <w:p>
      <w:r>
        <w:rPr>
          <w:sz w:val="20"/>
        </w:rPr>
        <w:t xml:space="preserve">Gulati, M. and Arjunan, P. (2022). LEAD1.0: A large-scale annotated dataset for energy anomaly detection in commercial buildings. arXiv:2203.17256.</w:t>
      </w:r>
      <w:r>
        <w:br/>
      </w:r>
      <w:hyperlink r:id="rId202">
        <w:r>
          <w:rPr>
            <w:sz w:val="18"/>
          </w:rPr>
          <w:t>https://arxiv.org/abs/2203.17256</w:t>
        </w:r>
      </w:hyperlink>
    </w:p>
    <w:p>
      <w:r>
        <w:rPr>
          <w:sz w:val="20"/>
        </w:rPr>
        <w:t xml:space="preserve">Kaggle (n.d.). Large-scale Energy Anomaly Detection (LEAD). Competition page.</w:t>
      </w:r>
      <w:r>
        <w:br/>
      </w:r>
      <w:hyperlink r:id="rId203">
        <w:r>
          <w:rPr>
            <w:sz w:val="18"/>
          </w:rPr>
          <w:t>https://www.kaggle.com/competitions/energy-anomaly-detection</w:t>
        </w:r>
      </w:hyperlink>
    </w:p>
    <w:p>
      <w:r>
        <w:rPr>
          <w:sz w:val="20"/>
        </w:rPr>
        <w:t xml:space="preserve">Ke, G., Meng, Q., Finley, T., Wang, T., Chen, W., Ma, W., Ye, Q. and Liu, T.-Y. (2017). LightGBM: A highly efficient gradient boosting decision tree. Advances in Neural Information Processing Systems 30.</w:t>
      </w:r>
      <w:r>
        <w:br/>
      </w:r>
      <w:hyperlink r:id="rId204">
        <w:r>
          <w:rPr>
            <w:sz w:val="18"/>
          </w:rPr>
          <w:t>https://papers.nips.cc/paper/2017/file/6449f44a102fde848669bdd9eb6b76fa-Paper.pdf</w:t>
        </w:r>
      </w:hyperlink>
    </w:p>
    <w:p>
      <w:r>
        <w:rPr>
          <w:sz w:val="20"/>
        </w:rPr>
        <w:t xml:space="preserve">LightGBM (n.d.). Parameters. Official documentation.</w:t>
      </w:r>
      <w:r>
        <w:br/>
      </w:r>
      <w:hyperlink r:id="rId205">
        <w:r>
          <w:rPr>
            <w:sz w:val="18"/>
          </w:rPr>
          <w:t>https://lightgbm.readthedocs.io/en/latest/Parameters.html</w:t>
        </w:r>
      </w:hyperlink>
    </w:p>
    <w:p>
      <w:r>
        <w:rPr>
          <w:sz w:val="20"/>
        </w:rPr>
        <w:t xml:space="preserve">Liu, F. T., Ting, K. M. and Zhou, Z.-H. (2008). Isolation forest. Proceedings of the Eighth IEEE International Conference on Data Mining, pp. 413–422.</w:t>
      </w:r>
      <w:r>
        <w:br/>
      </w:r>
      <w:hyperlink r:id="rId206">
        <w:r>
          <w:rPr>
            <w:sz w:val="18"/>
          </w:rPr>
          <w:t>https://doi.org/10.1109/ICDM.2008.17</w:t>
        </w:r>
      </w:hyperlink>
    </w:p>
    <w:p>
      <w:r>
        <w:rPr>
          <w:sz w:val="20"/>
        </w:rPr>
        <w:t xml:space="preserve">Saito, T. and Rehmsmeier, M. (2015). The precision-recall plot is more informative than the ROC plot when evaluating binary classifiers on imbalanced datasets. PLOS ONE, 10(3), e0118432.</w:t>
      </w:r>
      <w:r>
        <w:br/>
      </w:r>
      <w:hyperlink r:id="rId207">
        <w:r>
          <w:rPr>
            <w:sz w:val="18"/>
          </w:rPr>
          <w:t>https://doi.org/10.1371/journal.pone.0118432</w:t>
        </w:r>
      </w:hyperlink>
    </w:p>
    <w:p>
      <w:r>
        <w:rPr>
          <w:sz w:val="20"/>
        </w:rPr>
        <w:t xml:space="preserve">scikit-learn (n.d.a). GroupKFold. Official API documentation.</w:t>
      </w:r>
      <w:r>
        <w:br/>
      </w:r>
      <w:hyperlink r:id="rId208">
        <w:r>
          <w:rPr>
            <w:sz w:val="18"/>
          </w:rPr>
          <w:t>https://scikit-learn.org/stable/modules/generated/sklearn.model_selection.GroupKFold.html</w:t>
        </w:r>
      </w:hyperlink>
    </w:p>
    <w:p>
      <w:r>
        <w:rPr>
          <w:sz w:val="20"/>
        </w:rPr>
        <w:t xml:space="preserve">scikit-learn (n.d.b). IsolationForest. Official API documentation.</w:t>
      </w:r>
      <w:r>
        <w:br/>
      </w:r>
      <w:hyperlink r:id="rId209">
        <w:r>
          <w:rPr>
            <w:sz w:val="18"/>
          </w:rPr>
          <w:t>https://scikit-learn.org/stable/modules/generated/sklearn.ensemble.IsolationForest.html</w:t>
        </w:r>
      </w:hyperlink>
    </w:p>
    <w:p>
      <w:r>
        <w:rPr>
          <w:sz w:val="20"/>
        </w:rPr>
        <w:t xml:space="preserve">scikit-learn (n.d.c). average_precision_score. Official API documentation.</w:t>
      </w:r>
      <w:r>
        <w:br/>
      </w:r>
      <w:hyperlink r:id="rId210">
        <w:r>
          <w:rPr>
            <w:sz w:val="18"/>
          </w:rPr>
          <w:t>https://scikit-learn.org/stable/modules/generated/sklearn.metrics.average_precision_score.html</w:t>
        </w:r>
      </w:hyperlink>
    </w:p>
    <w:p>
      <w:r>
        <w:rPr>
          <w:sz w:val="20"/>
        </w:rPr>
        <w:t xml:space="preserve">Snoek, J., Larochelle, H. and Adams, R. P. (2012). Practical Bayesian optimization of machine learning algorithms. Advances in Neural Information Processing Systems 25.</w:t>
      </w:r>
      <w:r>
        <w:br/>
      </w:r>
      <w:hyperlink r:id="rId211">
        <w:r>
          <w:rPr>
            <w:sz w:val="18"/>
          </w:rPr>
          <w:t>https://proceedings.neurips.cc/paper/2012/file/05311655a15b75fab86956663e1819cd-Paper.pdf</w:t>
        </w:r>
      </w:hyperlink>
    </w:p>
    <w:p>
      <w:r>
        <w:rPr>
          <w:sz w:val="20"/>
        </w:rPr>
        <w:t xml:space="preserve">University of the Free State (2026). EDAB6808 Assignment 2: Anomaly Detection and Forecasting. Question 1, Anomaly Detection. Supplied assignment brief.</w:t>
      </w:r>
    </w:p>
    <w:sectPr w:rsidR="008C0A61" w:rsidSect="00034616">
      <w:footerReference w:type="default" r:id="rId25"/>
      <w:pgSz w:w="11909" w:h="16834"/>
      <w:pgMar w:top="1037" w:right="1080" w:bottom="1008" w:left="1181"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A7E2918" w14:textId="77777777" w:rsidR="007E76E5" w:rsidRDefault="007E76E5">
      <w:pPr>
        <w:spacing w:after="0" w:line="240" w:lineRule="auto"/>
      </w:pPr>
      <w:r>
        <w:separator/>
      </w:r>
    </w:p>
  </w:endnote>
  <w:endnote w:type="continuationSeparator" w:id="0">
    <w:p w14:paraId="3F233805" w14:textId="77777777" w:rsidR="007E76E5" w:rsidRDefault="007E76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3A5EDF" w14:textId="77777777" w:rsidR="008C0A61" w:rsidRDefault="00000000">
    <w:pPr>
      <w:pStyle w:val="Footer"/>
      <w:jc w:val="right"/>
    </w:pPr>
    <w:r>
      <w:rPr>
        <w:sz w:val="18"/>
      </w:rPr>
      <w:t xml:space="preserve">Lwazi  |  </w:t>
    </w:r>
    <w:r>
      <w:fldChar w:fldCharType="begin"/>
    </w:r>
    <w:r>
      <w:instrText>PAGE</w:instrText>
    </w:r>
    <w:r>
      <w:fldChar w:fldCharType="separate"/>
    </w:r>
    <w:r w:rsidR="00E556F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0845A66" w14:textId="77777777" w:rsidR="007E76E5" w:rsidRDefault="007E76E5">
      <w:pPr>
        <w:spacing w:after="0" w:line="240" w:lineRule="auto"/>
      </w:pPr>
      <w:r>
        <w:separator/>
      </w:r>
    </w:p>
  </w:footnote>
  <w:footnote w:type="continuationSeparator" w:id="0">
    <w:p w14:paraId="5A6AB1EA" w14:textId="77777777" w:rsidR="007E76E5" w:rsidRDefault="007E76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1512347">
    <w:abstractNumId w:val="8"/>
  </w:num>
  <w:num w:numId="2" w16cid:durableId="35157146">
    <w:abstractNumId w:val="6"/>
  </w:num>
  <w:num w:numId="3" w16cid:durableId="1802766079">
    <w:abstractNumId w:val="5"/>
  </w:num>
  <w:num w:numId="4" w16cid:durableId="1508406066">
    <w:abstractNumId w:val="4"/>
  </w:num>
  <w:num w:numId="5" w16cid:durableId="2138522801">
    <w:abstractNumId w:val="7"/>
  </w:num>
  <w:num w:numId="6" w16cid:durableId="1072578822">
    <w:abstractNumId w:val="3"/>
  </w:num>
  <w:num w:numId="7" w16cid:durableId="1784231868">
    <w:abstractNumId w:val="2"/>
  </w:num>
  <w:num w:numId="8" w16cid:durableId="576862717">
    <w:abstractNumId w:val="1"/>
  </w:num>
  <w:num w:numId="9" w16cid:durableId="155989509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47DC"/>
    <w:rsid w:val="0015074B"/>
    <w:rsid w:val="0029639D"/>
    <w:rsid w:val="00326F90"/>
    <w:rsid w:val="003B63F7"/>
    <w:rsid w:val="00516967"/>
    <w:rsid w:val="007E76E5"/>
    <w:rsid w:val="008C0A61"/>
    <w:rsid w:val="00AA1D8D"/>
    <w:rsid w:val="00B1239A"/>
    <w:rsid w:val="00B46C1F"/>
    <w:rsid w:val="00B47730"/>
    <w:rsid w:val="00C30E1A"/>
    <w:rsid w:val="00C941E2"/>
    <w:rsid w:val="00CB0664"/>
    <w:rsid w:val="00E3567E"/>
    <w:rsid w:val="00E556F7"/>
    <w:rsid w:val="00E55E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475836"/>
  <w14:defaultImageDpi w14:val="300"/>
  <w15:docId w15:val="{BE426791-7ED2-9740-8C6F-F9D55F175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74"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18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A66AC"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A66AC"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255"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255"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A66AC"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74C80"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A66AC"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A66AC"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B1D3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A66AC"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A66AC"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255"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255"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A66AC"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A66AC" w:themeColor="accent1"/>
    </w:rPr>
  </w:style>
  <w:style w:type="character" w:customStyle="1" w:styleId="IntenseQuoteChar">
    <w:name w:val="Intense Quote Char"/>
    <w:basedOn w:val="DefaultParagraphFont"/>
    <w:link w:val="IntenseQuote"/>
    <w:uiPriority w:val="30"/>
    <w:rsid w:val="00FC693F"/>
    <w:rPr>
      <w:b/>
      <w:bCs/>
      <w:i/>
      <w:iCs/>
      <w:color w:val="4A66AC"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A66AC" w:themeColor="accent1"/>
    </w:rPr>
  </w:style>
  <w:style w:type="character" w:styleId="SubtleReference">
    <w:name w:val="Subtle Reference"/>
    <w:basedOn w:val="DefaultParagraphFont"/>
    <w:uiPriority w:val="31"/>
    <w:qFormat/>
    <w:rsid w:val="00FC693F"/>
    <w:rPr>
      <w:smallCaps/>
      <w:color w:val="629DD1" w:themeColor="accent2"/>
      <w:u w:val="single"/>
    </w:rPr>
  </w:style>
  <w:style w:type="character" w:styleId="IntenseReference">
    <w:name w:val="Intense Reference"/>
    <w:basedOn w:val="DefaultParagraphFont"/>
    <w:uiPriority w:val="32"/>
    <w:qFormat/>
    <w:rsid w:val="00FC693F"/>
    <w:rPr>
      <w:b/>
      <w:bCs/>
      <w:smallCaps/>
      <w:color w:val="629DD1"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74C80" w:themeColor="accent1" w:themeShade="BF"/>
    </w:rPr>
    <w:tblPr>
      <w:tblStyleRowBandSize w:val="1"/>
      <w:tblStyleColBandSize w:val="1"/>
      <w:tblBorders>
        <w:top w:val="single" w:sz="8" w:space="0" w:color="4A66AC" w:themeColor="accent1"/>
        <w:bottom w:val="single" w:sz="8" w:space="0" w:color="4A66AC" w:themeColor="accent1"/>
      </w:tblBorders>
    </w:tblPr>
    <w:tblStylePr w:type="firstRow">
      <w:pPr>
        <w:spacing w:before="0" w:after="0" w:line="240" w:lineRule="auto"/>
      </w:pPr>
      <w:rPr>
        <w:b/>
        <w:bCs/>
      </w:rPr>
      <w:tblPr/>
      <w:tcPr>
        <w:tcBorders>
          <w:top w:val="single" w:sz="8" w:space="0" w:color="4A66AC" w:themeColor="accent1"/>
          <w:left w:val="nil"/>
          <w:bottom w:val="single" w:sz="8" w:space="0" w:color="4A66AC" w:themeColor="accent1"/>
          <w:right w:val="nil"/>
          <w:insideH w:val="nil"/>
          <w:insideV w:val="nil"/>
        </w:tcBorders>
      </w:tcPr>
    </w:tblStylePr>
    <w:tblStylePr w:type="lastRow">
      <w:pPr>
        <w:spacing w:before="0" w:after="0" w:line="240" w:lineRule="auto"/>
      </w:pPr>
      <w:rPr>
        <w:b/>
        <w:bCs/>
      </w:rPr>
      <w:tblPr/>
      <w:tcPr>
        <w:tcBorders>
          <w:top w:val="single" w:sz="8" w:space="0" w:color="4A66AC" w:themeColor="accent1"/>
          <w:left w:val="nil"/>
          <w:bottom w:val="single" w:sz="8" w:space="0" w:color="4A66A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8EB" w:themeFill="accent1" w:themeFillTint="3F"/>
      </w:tcPr>
    </w:tblStylePr>
    <w:tblStylePr w:type="band1Horz">
      <w:tblPr/>
      <w:tcPr>
        <w:tcBorders>
          <w:left w:val="nil"/>
          <w:right w:val="nil"/>
          <w:insideH w:val="nil"/>
          <w:insideV w:val="nil"/>
        </w:tcBorders>
        <w:shd w:val="clear" w:color="auto" w:fill="D1D8EB" w:themeFill="accent1" w:themeFillTint="3F"/>
      </w:tcPr>
    </w:tblStylePr>
  </w:style>
  <w:style w:type="table" w:styleId="LightShading-Accent2">
    <w:name w:val="Light Shading Accent 2"/>
    <w:basedOn w:val="TableNormal"/>
    <w:uiPriority w:val="60"/>
    <w:rsid w:val="00FC693F"/>
    <w:pPr>
      <w:spacing w:after="0" w:line="240" w:lineRule="auto"/>
    </w:pPr>
    <w:rPr>
      <w:color w:val="3476B1" w:themeColor="accent2" w:themeShade="BF"/>
    </w:rPr>
    <w:tblPr>
      <w:tblStyleRowBandSize w:val="1"/>
      <w:tblStyleColBandSize w:val="1"/>
      <w:tblBorders>
        <w:top w:val="single" w:sz="8" w:space="0" w:color="629DD1" w:themeColor="accent2"/>
        <w:bottom w:val="single" w:sz="8" w:space="0" w:color="629DD1" w:themeColor="accent2"/>
      </w:tblBorders>
    </w:tblPr>
    <w:tblStylePr w:type="firstRow">
      <w:pPr>
        <w:spacing w:before="0" w:after="0" w:line="240" w:lineRule="auto"/>
      </w:pPr>
      <w:rPr>
        <w:b/>
        <w:bCs/>
      </w:rPr>
      <w:tblPr/>
      <w:tcPr>
        <w:tcBorders>
          <w:top w:val="single" w:sz="8" w:space="0" w:color="629DD1" w:themeColor="accent2"/>
          <w:left w:val="nil"/>
          <w:bottom w:val="single" w:sz="8" w:space="0" w:color="629DD1" w:themeColor="accent2"/>
          <w:right w:val="nil"/>
          <w:insideH w:val="nil"/>
          <w:insideV w:val="nil"/>
        </w:tcBorders>
      </w:tcPr>
    </w:tblStylePr>
    <w:tblStylePr w:type="lastRow">
      <w:pPr>
        <w:spacing w:before="0" w:after="0" w:line="240" w:lineRule="auto"/>
      </w:pPr>
      <w:rPr>
        <w:b/>
        <w:bCs/>
      </w:rPr>
      <w:tblPr/>
      <w:tcPr>
        <w:tcBorders>
          <w:top w:val="single" w:sz="8" w:space="0" w:color="629DD1" w:themeColor="accent2"/>
          <w:left w:val="nil"/>
          <w:bottom w:val="single" w:sz="8" w:space="0" w:color="629DD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E6F3" w:themeFill="accent2" w:themeFillTint="3F"/>
      </w:tcPr>
    </w:tblStylePr>
    <w:tblStylePr w:type="band1Horz">
      <w:tblPr/>
      <w:tcPr>
        <w:tcBorders>
          <w:left w:val="nil"/>
          <w:right w:val="nil"/>
          <w:insideH w:val="nil"/>
          <w:insideV w:val="nil"/>
        </w:tcBorders>
        <w:shd w:val="clear" w:color="auto" w:fill="D8E6F3" w:themeFill="accent2" w:themeFillTint="3F"/>
      </w:tcPr>
    </w:tblStylePr>
  </w:style>
  <w:style w:type="table" w:styleId="LightShading-Accent3">
    <w:name w:val="Light Shading Accent 3"/>
    <w:basedOn w:val="TableNormal"/>
    <w:uiPriority w:val="60"/>
    <w:rsid w:val="00FC693F"/>
    <w:pPr>
      <w:spacing w:after="0" w:line="240" w:lineRule="auto"/>
    </w:pPr>
    <w:rPr>
      <w:color w:val="1E5E9F" w:themeColor="accent3" w:themeShade="BF"/>
    </w:rPr>
    <w:tblPr>
      <w:tblStyleRowBandSize w:val="1"/>
      <w:tblStyleColBandSize w:val="1"/>
      <w:tblBorders>
        <w:top w:val="single" w:sz="8" w:space="0" w:color="297FD5" w:themeColor="accent3"/>
        <w:bottom w:val="single" w:sz="8" w:space="0" w:color="297FD5" w:themeColor="accent3"/>
      </w:tblBorders>
    </w:tblPr>
    <w:tblStylePr w:type="firstRow">
      <w:pPr>
        <w:spacing w:before="0" w:after="0" w:line="240" w:lineRule="auto"/>
      </w:pPr>
      <w:rPr>
        <w:b/>
        <w:bCs/>
      </w:rPr>
      <w:tblPr/>
      <w:tcPr>
        <w:tcBorders>
          <w:top w:val="single" w:sz="8" w:space="0" w:color="297FD5" w:themeColor="accent3"/>
          <w:left w:val="nil"/>
          <w:bottom w:val="single" w:sz="8" w:space="0" w:color="297FD5" w:themeColor="accent3"/>
          <w:right w:val="nil"/>
          <w:insideH w:val="nil"/>
          <w:insideV w:val="nil"/>
        </w:tcBorders>
      </w:tcPr>
    </w:tblStylePr>
    <w:tblStylePr w:type="lastRow">
      <w:pPr>
        <w:spacing w:before="0" w:after="0" w:line="240" w:lineRule="auto"/>
      </w:pPr>
      <w:rPr>
        <w:b/>
        <w:bCs/>
      </w:rPr>
      <w:tblPr/>
      <w:tcPr>
        <w:tcBorders>
          <w:top w:val="single" w:sz="8" w:space="0" w:color="297FD5" w:themeColor="accent3"/>
          <w:left w:val="nil"/>
          <w:bottom w:val="single" w:sz="8" w:space="0" w:color="297FD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DFF4" w:themeFill="accent3" w:themeFillTint="3F"/>
      </w:tcPr>
    </w:tblStylePr>
    <w:tblStylePr w:type="band1Horz">
      <w:tblPr/>
      <w:tcPr>
        <w:tcBorders>
          <w:left w:val="nil"/>
          <w:right w:val="nil"/>
          <w:insideH w:val="nil"/>
          <w:insideV w:val="nil"/>
        </w:tcBorders>
        <w:shd w:val="clear" w:color="auto" w:fill="C9DFF4" w:themeFill="accent3" w:themeFillTint="3F"/>
      </w:tcPr>
    </w:tblStylePr>
  </w:style>
  <w:style w:type="table" w:styleId="LightShading-Accent4">
    <w:name w:val="Light Shading Accent 4"/>
    <w:basedOn w:val="TableNormal"/>
    <w:uiPriority w:val="60"/>
    <w:rsid w:val="00FC693F"/>
    <w:pPr>
      <w:spacing w:after="0" w:line="240" w:lineRule="auto"/>
    </w:pPr>
    <w:rPr>
      <w:color w:val="596984" w:themeColor="accent4" w:themeShade="BF"/>
    </w:rPr>
    <w:tblPr>
      <w:tblStyleRowBandSize w:val="1"/>
      <w:tblStyleColBandSize w:val="1"/>
      <w:tblBorders>
        <w:top w:val="single" w:sz="8" w:space="0" w:color="7F8FA9" w:themeColor="accent4"/>
        <w:bottom w:val="single" w:sz="8" w:space="0" w:color="7F8FA9" w:themeColor="accent4"/>
      </w:tblBorders>
    </w:tblPr>
    <w:tblStylePr w:type="firstRow">
      <w:pPr>
        <w:spacing w:before="0" w:after="0" w:line="240" w:lineRule="auto"/>
      </w:pPr>
      <w:rPr>
        <w:b/>
        <w:bCs/>
      </w:rPr>
      <w:tblPr/>
      <w:tcPr>
        <w:tcBorders>
          <w:top w:val="single" w:sz="8" w:space="0" w:color="7F8FA9" w:themeColor="accent4"/>
          <w:left w:val="nil"/>
          <w:bottom w:val="single" w:sz="8" w:space="0" w:color="7F8FA9" w:themeColor="accent4"/>
          <w:right w:val="nil"/>
          <w:insideH w:val="nil"/>
          <w:insideV w:val="nil"/>
        </w:tcBorders>
      </w:tcPr>
    </w:tblStylePr>
    <w:tblStylePr w:type="lastRow">
      <w:pPr>
        <w:spacing w:before="0" w:after="0" w:line="240" w:lineRule="auto"/>
      </w:pPr>
      <w:rPr>
        <w:b/>
        <w:bCs/>
      </w:rPr>
      <w:tblPr/>
      <w:tcPr>
        <w:tcBorders>
          <w:top w:val="single" w:sz="8" w:space="0" w:color="7F8FA9" w:themeColor="accent4"/>
          <w:left w:val="nil"/>
          <w:bottom w:val="single" w:sz="8" w:space="0" w:color="7F8FA9"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E3E9" w:themeFill="accent4" w:themeFillTint="3F"/>
      </w:tcPr>
    </w:tblStylePr>
    <w:tblStylePr w:type="band1Horz">
      <w:tblPr/>
      <w:tcPr>
        <w:tcBorders>
          <w:left w:val="nil"/>
          <w:right w:val="nil"/>
          <w:insideH w:val="nil"/>
          <w:insideV w:val="nil"/>
        </w:tcBorders>
        <w:shd w:val="clear" w:color="auto" w:fill="DFE3E9" w:themeFill="accent4" w:themeFillTint="3F"/>
      </w:tcPr>
    </w:tblStylePr>
  </w:style>
  <w:style w:type="table" w:styleId="LightShading-Accent5">
    <w:name w:val="Light Shading Accent 5"/>
    <w:basedOn w:val="TableNormal"/>
    <w:uiPriority w:val="60"/>
    <w:rsid w:val="00FC693F"/>
    <w:pPr>
      <w:spacing w:after="0" w:line="240" w:lineRule="auto"/>
    </w:pPr>
    <w:rPr>
      <w:color w:val="417A84" w:themeColor="accent5" w:themeShade="BF"/>
    </w:rPr>
    <w:tblPr>
      <w:tblStyleRowBandSize w:val="1"/>
      <w:tblStyleColBandSize w:val="1"/>
      <w:tblBorders>
        <w:top w:val="single" w:sz="8" w:space="0" w:color="5AA2AE" w:themeColor="accent5"/>
        <w:bottom w:val="single" w:sz="8" w:space="0" w:color="5AA2AE" w:themeColor="accent5"/>
      </w:tblBorders>
    </w:tblPr>
    <w:tblStylePr w:type="firstRow">
      <w:pPr>
        <w:spacing w:before="0" w:after="0" w:line="240" w:lineRule="auto"/>
      </w:pPr>
      <w:rPr>
        <w:b/>
        <w:bCs/>
      </w:rPr>
      <w:tblPr/>
      <w:tcPr>
        <w:tcBorders>
          <w:top w:val="single" w:sz="8" w:space="0" w:color="5AA2AE" w:themeColor="accent5"/>
          <w:left w:val="nil"/>
          <w:bottom w:val="single" w:sz="8" w:space="0" w:color="5AA2AE" w:themeColor="accent5"/>
          <w:right w:val="nil"/>
          <w:insideH w:val="nil"/>
          <w:insideV w:val="nil"/>
        </w:tcBorders>
      </w:tcPr>
    </w:tblStylePr>
    <w:tblStylePr w:type="lastRow">
      <w:pPr>
        <w:spacing w:before="0" w:after="0" w:line="240" w:lineRule="auto"/>
      </w:pPr>
      <w:rPr>
        <w:b/>
        <w:bCs/>
      </w:rPr>
      <w:tblPr/>
      <w:tcPr>
        <w:tcBorders>
          <w:top w:val="single" w:sz="8" w:space="0" w:color="5AA2AE" w:themeColor="accent5"/>
          <w:left w:val="nil"/>
          <w:bottom w:val="single" w:sz="8" w:space="0" w:color="5AA2AE"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7EB" w:themeFill="accent5" w:themeFillTint="3F"/>
      </w:tcPr>
    </w:tblStylePr>
    <w:tblStylePr w:type="band1Horz">
      <w:tblPr/>
      <w:tcPr>
        <w:tcBorders>
          <w:left w:val="nil"/>
          <w:right w:val="nil"/>
          <w:insideH w:val="nil"/>
          <w:insideV w:val="nil"/>
        </w:tcBorders>
        <w:shd w:val="clear" w:color="auto" w:fill="D6E7EB" w:themeFill="accent5" w:themeFillTint="3F"/>
      </w:tcPr>
    </w:tblStylePr>
  </w:style>
  <w:style w:type="table" w:styleId="LightShading-Accent6">
    <w:name w:val="Light Shading Accent 6"/>
    <w:basedOn w:val="TableNormal"/>
    <w:uiPriority w:val="60"/>
    <w:rsid w:val="00FC693F"/>
    <w:pPr>
      <w:spacing w:after="0" w:line="240" w:lineRule="auto"/>
    </w:pPr>
    <w:rPr>
      <w:color w:val="77697A" w:themeColor="accent6" w:themeShade="BF"/>
    </w:rPr>
    <w:tblPr>
      <w:tblStyleRowBandSize w:val="1"/>
      <w:tblStyleColBandSize w:val="1"/>
      <w:tblBorders>
        <w:top w:val="single" w:sz="8" w:space="0" w:color="9D90A0" w:themeColor="accent6"/>
        <w:bottom w:val="single" w:sz="8" w:space="0" w:color="9D90A0" w:themeColor="accent6"/>
      </w:tblBorders>
    </w:tblPr>
    <w:tblStylePr w:type="firstRow">
      <w:pPr>
        <w:spacing w:before="0" w:after="0" w:line="240" w:lineRule="auto"/>
      </w:pPr>
      <w:rPr>
        <w:b/>
        <w:bCs/>
      </w:rPr>
      <w:tblPr/>
      <w:tcPr>
        <w:tcBorders>
          <w:top w:val="single" w:sz="8" w:space="0" w:color="9D90A0" w:themeColor="accent6"/>
          <w:left w:val="nil"/>
          <w:bottom w:val="single" w:sz="8" w:space="0" w:color="9D90A0" w:themeColor="accent6"/>
          <w:right w:val="nil"/>
          <w:insideH w:val="nil"/>
          <w:insideV w:val="nil"/>
        </w:tcBorders>
      </w:tcPr>
    </w:tblStylePr>
    <w:tblStylePr w:type="lastRow">
      <w:pPr>
        <w:spacing w:before="0" w:after="0" w:line="240" w:lineRule="auto"/>
      </w:pPr>
      <w:rPr>
        <w:b/>
        <w:bCs/>
      </w:rPr>
      <w:tblPr/>
      <w:tcPr>
        <w:tcBorders>
          <w:top w:val="single" w:sz="8" w:space="0" w:color="9D90A0" w:themeColor="accent6"/>
          <w:left w:val="nil"/>
          <w:bottom w:val="single" w:sz="8" w:space="0" w:color="9D90A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3E7" w:themeFill="accent6" w:themeFillTint="3F"/>
      </w:tcPr>
    </w:tblStylePr>
    <w:tblStylePr w:type="band1Horz">
      <w:tblPr/>
      <w:tcPr>
        <w:tcBorders>
          <w:left w:val="nil"/>
          <w:right w:val="nil"/>
          <w:insideH w:val="nil"/>
          <w:insideV w:val="nil"/>
        </w:tcBorders>
        <w:shd w:val="clear" w:color="auto" w:fill="E6E3E7"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A66AC" w:themeColor="accent1"/>
        <w:left w:val="single" w:sz="8" w:space="0" w:color="4A66AC" w:themeColor="accent1"/>
        <w:bottom w:val="single" w:sz="8" w:space="0" w:color="4A66AC" w:themeColor="accent1"/>
        <w:right w:val="single" w:sz="8" w:space="0" w:color="4A66AC" w:themeColor="accent1"/>
      </w:tblBorders>
    </w:tblPr>
    <w:tblStylePr w:type="firstRow">
      <w:pPr>
        <w:spacing w:before="0" w:after="0" w:line="240" w:lineRule="auto"/>
      </w:pPr>
      <w:rPr>
        <w:b/>
        <w:bCs/>
        <w:color w:val="FFFFFF" w:themeColor="background1"/>
      </w:rPr>
      <w:tblPr/>
      <w:tcPr>
        <w:shd w:val="clear" w:color="auto" w:fill="4A66AC" w:themeFill="accent1"/>
      </w:tcPr>
    </w:tblStylePr>
    <w:tblStylePr w:type="lastRow">
      <w:pPr>
        <w:spacing w:before="0" w:after="0" w:line="240" w:lineRule="auto"/>
      </w:pPr>
      <w:rPr>
        <w:b/>
        <w:bCs/>
      </w:rPr>
      <w:tblPr/>
      <w:tcPr>
        <w:tcBorders>
          <w:top w:val="double" w:sz="6" w:space="0" w:color="4A66AC" w:themeColor="accent1"/>
          <w:left w:val="single" w:sz="8" w:space="0" w:color="4A66AC" w:themeColor="accent1"/>
          <w:bottom w:val="single" w:sz="8" w:space="0" w:color="4A66AC" w:themeColor="accent1"/>
          <w:right w:val="single" w:sz="8" w:space="0" w:color="4A66AC" w:themeColor="accent1"/>
        </w:tcBorders>
      </w:tcPr>
    </w:tblStylePr>
    <w:tblStylePr w:type="firstCol">
      <w:rPr>
        <w:b/>
        <w:bCs/>
      </w:rPr>
    </w:tblStylePr>
    <w:tblStylePr w:type="lastCol">
      <w:rPr>
        <w:b/>
        <w:bCs/>
      </w:rPr>
    </w:tblStylePr>
    <w:tblStylePr w:type="band1Vert">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tcPr>
    </w:tblStylePr>
    <w:tblStylePr w:type="band1Horz">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629DD1" w:themeColor="accent2"/>
        <w:left w:val="single" w:sz="8" w:space="0" w:color="629DD1" w:themeColor="accent2"/>
        <w:bottom w:val="single" w:sz="8" w:space="0" w:color="629DD1" w:themeColor="accent2"/>
        <w:right w:val="single" w:sz="8" w:space="0" w:color="629DD1" w:themeColor="accent2"/>
      </w:tblBorders>
    </w:tblPr>
    <w:tblStylePr w:type="firstRow">
      <w:pPr>
        <w:spacing w:before="0" w:after="0" w:line="240" w:lineRule="auto"/>
      </w:pPr>
      <w:rPr>
        <w:b/>
        <w:bCs/>
        <w:color w:val="FFFFFF" w:themeColor="background1"/>
      </w:rPr>
      <w:tblPr/>
      <w:tcPr>
        <w:shd w:val="clear" w:color="auto" w:fill="629DD1" w:themeFill="accent2"/>
      </w:tcPr>
    </w:tblStylePr>
    <w:tblStylePr w:type="lastRow">
      <w:pPr>
        <w:spacing w:before="0" w:after="0" w:line="240" w:lineRule="auto"/>
      </w:pPr>
      <w:rPr>
        <w:b/>
        <w:bCs/>
      </w:rPr>
      <w:tblPr/>
      <w:tcPr>
        <w:tcBorders>
          <w:top w:val="double" w:sz="6" w:space="0" w:color="629DD1" w:themeColor="accent2"/>
          <w:left w:val="single" w:sz="8" w:space="0" w:color="629DD1" w:themeColor="accent2"/>
          <w:bottom w:val="single" w:sz="8" w:space="0" w:color="629DD1" w:themeColor="accent2"/>
          <w:right w:val="single" w:sz="8" w:space="0" w:color="629DD1" w:themeColor="accent2"/>
        </w:tcBorders>
      </w:tcPr>
    </w:tblStylePr>
    <w:tblStylePr w:type="firstCol">
      <w:rPr>
        <w:b/>
        <w:bCs/>
      </w:rPr>
    </w:tblStylePr>
    <w:tblStylePr w:type="lastCol">
      <w:rPr>
        <w:b/>
        <w:bCs/>
      </w:rPr>
    </w:tblStylePr>
    <w:tblStylePr w:type="band1Vert">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tcPr>
    </w:tblStylePr>
    <w:tblStylePr w:type="band1Horz">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297FD5" w:themeColor="accent3"/>
        <w:left w:val="single" w:sz="8" w:space="0" w:color="297FD5" w:themeColor="accent3"/>
        <w:bottom w:val="single" w:sz="8" w:space="0" w:color="297FD5" w:themeColor="accent3"/>
        <w:right w:val="single" w:sz="8" w:space="0" w:color="297FD5" w:themeColor="accent3"/>
      </w:tblBorders>
    </w:tblPr>
    <w:tblStylePr w:type="firstRow">
      <w:pPr>
        <w:spacing w:before="0" w:after="0" w:line="240" w:lineRule="auto"/>
      </w:pPr>
      <w:rPr>
        <w:b/>
        <w:bCs/>
        <w:color w:val="FFFFFF" w:themeColor="background1"/>
      </w:rPr>
      <w:tblPr/>
      <w:tcPr>
        <w:shd w:val="clear" w:color="auto" w:fill="297FD5" w:themeFill="accent3"/>
      </w:tcPr>
    </w:tblStylePr>
    <w:tblStylePr w:type="lastRow">
      <w:pPr>
        <w:spacing w:before="0" w:after="0" w:line="240" w:lineRule="auto"/>
      </w:pPr>
      <w:rPr>
        <w:b/>
        <w:bCs/>
      </w:rPr>
      <w:tblPr/>
      <w:tcPr>
        <w:tcBorders>
          <w:top w:val="double" w:sz="6" w:space="0" w:color="297FD5" w:themeColor="accent3"/>
          <w:left w:val="single" w:sz="8" w:space="0" w:color="297FD5" w:themeColor="accent3"/>
          <w:bottom w:val="single" w:sz="8" w:space="0" w:color="297FD5" w:themeColor="accent3"/>
          <w:right w:val="single" w:sz="8" w:space="0" w:color="297FD5" w:themeColor="accent3"/>
        </w:tcBorders>
      </w:tcPr>
    </w:tblStylePr>
    <w:tblStylePr w:type="firstCol">
      <w:rPr>
        <w:b/>
        <w:bCs/>
      </w:rPr>
    </w:tblStylePr>
    <w:tblStylePr w:type="lastCol">
      <w:rPr>
        <w:b/>
        <w:bCs/>
      </w:rPr>
    </w:tblStylePr>
    <w:tblStylePr w:type="band1Vert">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tcPr>
    </w:tblStylePr>
    <w:tblStylePr w:type="band1Horz">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7F8FA9" w:themeColor="accent4"/>
        <w:left w:val="single" w:sz="8" w:space="0" w:color="7F8FA9" w:themeColor="accent4"/>
        <w:bottom w:val="single" w:sz="8" w:space="0" w:color="7F8FA9" w:themeColor="accent4"/>
        <w:right w:val="single" w:sz="8" w:space="0" w:color="7F8FA9" w:themeColor="accent4"/>
      </w:tblBorders>
    </w:tblPr>
    <w:tblStylePr w:type="firstRow">
      <w:pPr>
        <w:spacing w:before="0" w:after="0" w:line="240" w:lineRule="auto"/>
      </w:pPr>
      <w:rPr>
        <w:b/>
        <w:bCs/>
        <w:color w:val="FFFFFF" w:themeColor="background1"/>
      </w:rPr>
      <w:tblPr/>
      <w:tcPr>
        <w:shd w:val="clear" w:color="auto" w:fill="7F8FA9" w:themeFill="accent4"/>
      </w:tcPr>
    </w:tblStylePr>
    <w:tblStylePr w:type="lastRow">
      <w:pPr>
        <w:spacing w:before="0" w:after="0" w:line="240" w:lineRule="auto"/>
      </w:pPr>
      <w:rPr>
        <w:b/>
        <w:bCs/>
      </w:rPr>
      <w:tblPr/>
      <w:tcPr>
        <w:tcBorders>
          <w:top w:val="double" w:sz="6" w:space="0" w:color="7F8FA9" w:themeColor="accent4"/>
          <w:left w:val="single" w:sz="8" w:space="0" w:color="7F8FA9" w:themeColor="accent4"/>
          <w:bottom w:val="single" w:sz="8" w:space="0" w:color="7F8FA9" w:themeColor="accent4"/>
          <w:right w:val="single" w:sz="8" w:space="0" w:color="7F8FA9" w:themeColor="accent4"/>
        </w:tcBorders>
      </w:tcPr>
    </w:tblStylePr>
    <w:tblStylePr w:type="firstCol">
      <w:rPr>
        <w:b/>
        <w:bCs/>
      </w:rPr>
    </w:tblStylePr>
    <w:tblStylePr w:type="lastCol">
      <w:rPr>
        <w:b/>
        <w:bCs/>
      </w:rPr>
    </w:tblStylePr>
    <w:tblStylePr w:type="band1Vert">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tcPr>
    </w:tblStylePr>
    <w:tblStylePr w:type="band1Horz">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tblBorders>
    </w:tblPr>
    <w:tblStylePr w:type="firstRow">
      <w:pPr>
        <w:spacing w:before="0" w:after="0" w:line="240" w:lineRule="auto"/>
      </w:pPr>
      <w:rPr>
        <w:b/>
        <w:bCs/>
        <w:color w:val="FFFFFF" w:themeColor="background1"/>
      </w:rPr>
      <w:tblPr/>
      <w:tcPr>
        <w:shd w:val="clear" w:color="auto" w:fill="5AA2AE" w:themeFill="accent5"/>
      </w:tcPr>
    </w:tblStylePr>
    <w:tblStylePr w:type="lastRow">
      <w:pPr>
        <w:spacing w:before="0" w:after="0" w:line="240" w:lineRule="auto"/>
      </w:pPr>
      <w:rPr>
        <w:b/>
        <w:bCs/>
      </w:rPr>
      <w:tblPr/>
      <w:tcPr>
        <w:tcBorders>
          <w:top w:val="double" w:sz="6" w:space="0" w:color="5AA2AE" w:themeColor="accent5"/>
          <w:left w:val="single" w:sz="8" w:space="0" w:color="5AA2AE" w:themeColor="accent5"/>
          <w:bottom w:val="single" w:sz="8" w:space="0" w:color="5AA2AE" w:themeColor="accent5"/>
          <w:right w:val="single" w:sz="8" w:space="0" w:color="5AA2AE" w:themeColor="accent5"/>
        </w:tcBorders>
      </w:tcPr>
    </w:tblStylePr>
    <w:tblStylePr w:type="firstCol">
      <w:rPr>
        <w:b/>
        <w:bCs/>
      </w:rPr>
    </w:tblStylePr>
    <w:tblStylePr w:type="lastCol">
      <w:rPr>
        <w:b/>
        <w:bCs/>
      </w:rPr>
    </w:tblStylePr>
    <w:tblStylePr w:type="band1Vert">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tcPr>
    </w:tblStylePr>
    <w:tblStylePr w:type="band1Horz">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tblBorders>
    </w:tblPr>
    <w:tblStylePr w:type="firstRow">
      <w:pPr>
        <w:spacing w:before="0" w:after="0" w:line="240" w:lineRule="auto"/>
      </w:pPr>
      <w:rPr>
        <w:b/>
        <w:bCs/>
        <w:color w:val="FFFFFF" w:themeColor="background1"/>
      </w:rPr>
      <w:tblPr/>
      <w:tcPr>
        <w:shd w:val="clear" w:color="auto" w:fill="9D90A0" w:themeFill="accent6"/>
      </w:tcPr>
    </w:tblStylePr>
    <w:tblStylePr w:type="lastRow">
      <w:pPr>
        <w:spacing w:before="0" w:after="0" w:line="240" w:lineRule="auto"/>
      </w:pPr>
      <w:rPr>
        <w:b/>
        <w:bCs/>
      </w:rPr>
      <w:tblPr/>
      <w:tcPr>
        <w:tcBorders>
          <w:top w:val="double" w:sz="6" w:space="0" w:color="9D90A0" w:themeColor="accent6"/>
          <w:left w:val="single" w:sz="8" w:space="0" w:color="9D90A0" w:themeColor="accent6"/>
          <w:bottom w:val="single" w:sz="8" w:space="0" w:color="9D90A0" w:themeColor="accent6"/>
          <w:right w:val="single" w:sz="8" w:space="0" w:color="9D90A0" w:themeColor="accent6"/>
        </w:tcBorders>
      </w:tcPr>
    </w:tblStylePr>
    <w:tblStylePr w:type="firstCol">
      <w:rPr>
        <w:b/>
        <w:bCs/>
      </w:rPr>
    </w:tblStylePr>
    <w:tblStylePr w:type="lastCol">
      <w:rPr>
        <w:b/>
        <w:bCs/>
      </w:rPr>
    </w:tblStylePr>
    <w:tblStylePr w:type="band1Vert">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tcPr>
    </w:tblStylePr>
    <w:tblStylePr w:type="band1Horz">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A66AC" w:themeColor="accent1"/>
        <w:left w:val="single" w:sz="8" w:space="0" w:color="4A66AC" w:themeColor="accent1"/>
        <w:bottom w:val="single" w:sz="8" w:space="0" w:color="4A66AC" w:themeColor="accent1"/>
        <w:right w:val="single" w:sz="8" w:space="0" w:color="4A66AC" w:themeColor="accent1"/>
        <w:insideH w:val="single" w:sz="8" w:space="0" w:color="4A66AC" w:themeColor="accent1"/>
        <w:insideV w:val="single" w:sz="8" w:space="0" w:color="4A66A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A66AC" w:themeColor="accent1"/>
          <w:left w:val="single" w:sz="8" w:space="0" w:color="4A66AC" w:themeColor="accent1"/>
          <w:bottom w:val="single" w:sz="18" w:space="0" w:color="4A66AC" w:themeColor="accent1"/>
          <w:right w:val="single" w:sz="8" w:space="0" w:color="4A66AC" w:themeColor="accent1"/>
          <w:insideH w:val="nil"/>
          <w:insideV w:val="single" w:sz="8" w:space="0" w:color="4A66A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A66AC" w:themeColor="accent1"/>
          <w:left w:val="single" w:sz="8" w:space="0" w:color="4A66AC" w:themeColor="accent1"/>
          <w:bottom w:val="single" w:sz="8" w:space="0" w:color="4A66AC" w:themeColor="accent1"/>
          <w:right w:val="single" w:sz="8" w:space="0" w:color="4A66AC" w:themeColor="accent1"/>
          <w:insideH w:val="nil"/>
          <w:insideV w:val="single" w:sz="8" w:space="0" w:color="4A66A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tcPr>
    </w:tblStylePr>
    <w:tblStylePr w:type="band1Vert">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shd w:val="clear" w:color="auto" w:fill="D1D8EB" w:themeFill="accent1" w:themeFillTint="3F"/>
      </w:tcPr>
    </w:tblStylePr>
    <w:tblStylePr w:type="band1Horz">
      <w:tblPr/>
      <w:tcPr>
        <w:tcBorders>
          <w:top w:val="single" w:sz="8" w:space="0" w:color="4A66AC" w:themeColor="accent1"/>
          <w:left w:val="single" w:sz="8" w:space="0" w:color="4A66AC" w:themeColor="accent1"/>
          <w:bottom w:val="single" w:sz="8" w:space="0" w:color="4A66AC" w:themeColor="accent1"/>
          <w:right w:val="single" w:sz="8" w:space="0" w:color="4A66AC" w:themeColor="accent1"/>
          <w:insideV w:val="single" w:sz="8" w:space="0" w:color="4A66AC" w:themeColor="accent1"/>
        </w:tcBorders>
        <w:shd w:val="clear" w:color="auto" w:fill="D1D8EB" w:themeFill="accent1" w:themeFillTint="3F"/>
      </w:tcPr>
    </w:tblStylePr>
    <w:tblStylePr w:type="band2Horz">
      <w:tblPr/>
      <w:tcPr>
        <w:tcBorders>
          <w:top w:val="single" w:sz="8" w:space="0" w:color="4A66AC" w:themeColor="accent1"/>
          <w:left w:val="single" w:sz="8" w:space="0" w:color="4A66AC" w:themeColor="accent1"/>
          <w:bottom w:val="single" w:sz="8" w:space="0" w:color="4A66AC" w:themeColor="accent1"/>
          <w:right w:val="single" w:sz="8" w:space="0" w:color="4A66AC" w:themeColor="accent1"/>
          <w:insideV w:val="single" w:sz="8" w:space="0" w:color="4A66AC"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629DD1" w:themeColor="accent2"/>
        <w:left w:val="single" w:sz="8" w:space="0" w:color="629DD1" w:themeColor="accent2"/>
        <w:bottom w:val="single" w:sz="8" w:space="0" w:color="629DD1" w:themeColor="accent2"/>
        <w:right w:val="single" w:sz="8" w:space="0" w:color="629DD1" w:themeColor="accent2"/>
        <w:insideH w:val="single" w:sz="8" w:space="0" w:color="629DD1" w:themeColor="accent2"/>
        <w:insideV w:val="single" w:sz="8" w:space="0" w:color="629DD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29DD1" w:themeColor="accent2"/>
          <w:left w:val="single" w:sz="8" w:space="0" w:color="629DD1" w:themeColor="accent2"/>
          <w:bottom w:val="single" w:sz="18" w:space="0" w:color="629DD1" w:themeColor="accent2"/>
          <w:right w:val="single" w:sz="8" w:space="0" w:color="629DD1" w:themeColor="accent2"/>
          <w:insideH w:val="nil"/>
          <w:insideV w:val="single" w:sz="8" w:space="0" w:color="629DD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29DD1" w:themeColor="accent2"/>
          <w:left w:val="single" w:sz="8" w:space="0" w:color="629DD1" w:themeColor="accent2"/>
          <w:bottom w:val="single" w:sz="8" w:space="0" w:color="629DD1" w:themeColor="accent2"/>
          <w:right w:val="single" w:sz="8" w:space="0" w:color="629DD1" w:themeColor="accent2"/>
          <w:insideH w:val="nil"/>
          <w:insideV w:val="single" w:sz="8" w:space="0" w:color="629DD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tcPr>
    </w:tblStylePr>
    <w:tblStylePr w:type="band1Vert">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shd w:val="clear" w:color="auto" w:fill="D8E6F3" w:themeFill="accent2" w:themeFillTint="3F"/>
      </w:tcPr>
    </w:tblStylePr>
    <w:tblStylePr w:type="band1Horz">
      <w:tblPr/>
      <w:tcPr>
        <w:tcBorders>
          <w:top w:val="single" w:sz="8" w:space="0" w:color="629DD1" w:themeColor="accent2"/>
          <w:left w:val="single" w:sz="8" w:space="0" w:color="629DD1" w:themeColor="accent2"/>
          <w:bottom w:val="single" w:sz="8" w:space="0" w:color="629DD1" w:themeColor="accent2"/>
          <w:right w:val="single" w:sz="8" w:space="0" w:color="629DD1" w:themeColor="accent2"/>
          <w:insideV w:val="single" w:sz="8" w:space="0" w:color="629DD1" w:themeColor="accent2"/>
        </w:tcBorders>
        <w:shd w:val="clear" w:color="auto" w:fill="D8E6F3" w:themeFill="accent2" w:themeFillTint="3F"/>
      </w:tcPr>
    </w:tblStylePr>
    <w:tblStylePr w:type="band2Horz">
      <w:tblPr/>
      <w:tcPr>
        <w:tcBorders>
          <w:top w:val="single" w:sz="8" w:space="0" w:color="629DD1" w:themeColor="accent2"/>
          <w:left w:val="single" w:sz="8" w:space="0" w:color="629DD1" w:themeColor="accent2"/>
          <w:bottom w:val="single" w:sz="8" w:space="0" w:color="629DD1" w:themeColor="accent2"/>
          <w:right w:val="single" w:sz="8" w:space="0" w:color="629DD1" w:themeColor="accent2"/>
          <w:insideV w:val="single" w:sz="8" w:space="0" w:color="629DD1"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297FD5" w:themeColor="accent3"/>
        <w:left w:val="single" w:sz="8" w:space="0" w:color="297FD5" w:themeColor="accent3"/>
        <w:bottom w:val="single" w:sz="8" w:space="0" w:color="297FD5" w:themeColor="accent3"/>
        <w:right w:val="single" w:sz="8" w:space="0" w:color="297FD5" w:themeColor="accent3"/>
        <w:insideH w:val="single" w:sz="8" w:space="0" w:color="297FD5" w:themeColor="accent3"/>
        <w:insideV w:val="single" w:sz="8" w:space="0" w:color="297FD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97FD5" w:themeColor="accent3"/>
          <w:left w:val="single" w:sz="8" w:space="0" w:color="297FD5" w:themeColor="accent3"/>
          <w:bottom w:val="single" w:sz="18" w:space="0" w:color="297FD5" w:themeColor="accent3"/>
          <w:right w:val="single" w:sz="8" w:space="0" w:color="297FD5" w:themeColor="accent3"/>
          <w:insideH w:val="nil"/>
          <w:insideV w:val="single" w:sz="8" w:space="0" w:color="297FD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97FD5" w:themeColor="accent3"/>
          <w:left w:val="single" w:sz="8" w:space="0" w:color="297FD5" w:themeColor="accent3"/>
          <w:bottom w:val="single" w:sz="8" w:space="0" w:color="297FD5" w:themeColor="accent3"/>
          <w:right w:val="single" w:sz="8" w:space="0" w:color="297FD5" w:themeColor="accent3"/>
          <w:insideH w:val="nil"/>
          <w:insideV w:val="single" w:sz="8" w:space="0" w:color="297FD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tcPr>
    </w:tblStylePr>
    <w:tblStylePr w:type="band1Vert">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shd w:val="clear" w:color="auto" w:fill="C9DFF4" w:themeFill="accent3" w:themeFillTint="3F"/>
      </w:tcPr>
    </w:tblStylePr>
    <w:tblStylePr w:type="band1Horz">
      <w:tblPr/>
      <w:tcPr>
        <w:tcBorders>
          <w:top w:val="single" w:sz="8" w:space="0" w:color="297FD5" w:themeColor="accent3"/>
          <w:left w:val="single" w:sz="8" w:space="0" w:color="297FD5" w:themeColor="accent3"/>
          <w:bottom w:val="single" w:sz="8" w:space="0" w:color="297FD5" w:themeColor="accent3"/>
          <w:right w:val="single" w:sz="8" w:space="0" w:color="297FD5" w:themeColor="accent3"/>
          <w:insideV w:val="single" w:sz="8" w:space="0" w:color="297FD5" w:themeColor="accent3"/>
        </w:tcBorders>
        <w:shd w:val="clear" w:color="auto" w:fill="C9DFF4" w:themeFill="accent3" w:themeFillTint="3F"/>
      </w:tcPr>
    </w:tblStylePr>
    <w:tblStylePr w:type="band2Horz">
      <w:tblPr/>
      <w:tcPr>
        <w:tcBorders>
          <w:top w:val="single" w:sz="8" w:space="0" w:color="297FD5" w:themeColor="accent3"/>
          <w:left w:val="single" w:sz="8" w:space="0" w:color="297FD5" w:themeColor="accent3"/>
          <w:bottom w:val="single" w:sz="8" w:space="0" w:color="297FD5" w:themeColor="accent3"/>
          <w:right w:val="single" w:sz="8" w:space="0" w:color="297FD5" w:themeColor="accent3"/>
          <w:insideV w:val="single" w:sz="8" w:space="0" w:color="297FD5"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7F8FA9" w:themeColor="accent4"/>
        <w:left w:val="single" w:sz="8" w:space="0" w:color="7F8FA9" w:themeColor="accent4"/>
        <w:bottom w:val="single" w:sz="8" w:space="0" w:color="7F8FA9" w:themeColor="accent4"/>
        <w:right w:val="single" w:sz="8" w:space="0" w:color="7F8FA9" w:themeColor="accent4"/>
        <w:insideH w:val="single" w:sz="8" w:space="0" w:color="7F8FA9" w:themeColor="accent4"/>
        <w:insideV w:val="single" w:sz="8" w:space="0" w:color="7F8FA9"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F8FA9" w:themeColor="accent4"/>
          <w:left w:val="single" w:sz="8" w:space="0" w:color="7F8FA9" w:themeColor="accent4"/>
          <w:bottom w:val="single" w:sz="18" w:space="0" w:color="7F8FA9" w:themeColor="accent4"/>
          <w:right w:val="single" w:sz="8" w:space="0" w:color="7F8FA9" w:themeColor="accent4"/>
          <w:insideH w:val="nil"/>
          <w:insideV w:val="single" w:sz="8" w:space="0" w:color="7F8FA9"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F8FA9" w:themeColor="accent4"/>
          <w:left w:val="single" w:sz="8" w:space="0" w:color="7F8FA9" w:themeColor="accent4"/>
          <w:bottom w:val="single" w:sz="8" w:space="0" w:color="7F8FA9" w:themeColor="accent4"/>
          <w:right w:val="single" w:sz="8" w:space="0" w:color="7F8FA9" w:themeColor="accent4"/>
          <w:insideH w:val="nil"/>
          <w:insideV w:val="single" w:sz="8" w:space="0" w:color="7F8FA9"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tcPr>
    </w:tblStylePr>
    <w:tblStylePr w:type="band1Vert">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shd w:val="clear" w:color="auto" w:fill="DFE3E9" w:themeFill="accent4" w:themeFillTint="3F"/>
      </w:tcPr>
    </w:tblStylePr>
    <w:tblStylePr w:type="band1Horz">
      <w:tblPr/>
      <w:tcPr>
        <w:tcBorders>
          <w:top w:val="single" w:sz="8" w:space="0" w:color="7F8FA9" w:themeColor="accent4"/>
          <w:left w:val="single" w:sz="8" w:space="0" w:color="7F8FA9" w:themeColor="accent4"/>
          <w:bottom w:val="single" w:sz="8" w:space="0" w:color="7F8FA9" w:themeColor="accent4"/>
          <w:right w:val="single" w:sz="8" w:space="0" w:color="7F8FA9" w:themeColor="accent4"/>
          <w:insideV w:val="single" w:sz="8" w:space="0" w:color="7F8FA9" w:themeColor="accent4"/>
        </w:tcBorders>
        <w:shd w:val="clear" w:color="auto" w:fill="DFE3E9" w:themeFill="accent4" w:themeFillTint="3F"/>
      </w:tcPr>
    </w:tblStylePr>
    <w:tblStylePr w:type="band2Horz">
      <w:tblPr/>
      <w:tcPr>
        <w:tcBorders>
          <w:top w:val="single" w:sz="8" w:space="0" w:color="7F8FA9" w:themeColor="accent4"/>
          <w:left w:val="single" w:sz="8" w:space="0" w:color="7F8FA9" w:themeColor="accent4"/>
          <w:bottom w:val="single" w:sz="8" w:space="0" w:color="7F8FA9" w:themeColor="accent4"/>
          <w:right w:val="single" w:sz="8" w:space="0" w:color="7F8FA9" w:themeColor="accent4"/>
          <w:insideV w:val="single" w:sz="8" w:space="0" w:color="7F8FA9"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insideH w:val="single" w:sz="8" w:space="0" w:color="5AA2AE" w:themeColor="accent5"/>
        <w:insideV w:val="single" w:sz="8" w:space="0" w:color="5AA2AE"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AA2AE" w:themeColor="accent5"/>
          <w:left w:val="single" w:sz="8" w:space="0" w:color="5AA2AE" w:themeColor="accent5"/>
          <w:bottom w:val="single" w:sz="18" w:space="0" w:color="5AA2AE" w:themeColor="accent5"/>
          <w:right w:val="single" w:sz="8" w:space="0" w:color="5AA2AE" w:themeColor="accent5"/>
          <w:insideH w:val="nil"/>
          <w:insideV w:val="single" w:sz="8" w:space="0" w:color="5AA2AE"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AA2AE" w:themeColor="accent5"/>
          <w:left w:val="single" w:sz="8" w:space="0" w:color="5AA2AE" w:themeColor="accent5"/>
          <w:bottom w:val="single" w:sz="8" w:space="0" w:color="5AA2AE" w:themeColor="accent5"/>
          <w:right w:val="single" w:sz="8" w:space="0" w:color="5AA2AE" w:themeColor="accent5"/>
          <w:insideH w:val="nil"/>
          <w:insideV w:val="single" w:sz="8" w:space="0" w:color="5AA2AE"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tcPr>
    </w:tblStylePr>
    <w:tblStylePr w:type="band1Vert">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shd w:val="clear" w:color="auto" w:fill="D6E7EB" w:themeFill="accent5" w:themeFillTint="3F"/>
      </w:tcPr>
    </w:tblStylePr>
    <w:tblStylePr w:type="band1Horz">
      <w:tblPr/>
      <w:tcPr>
        <w:tcBorders>
          <w:top w:val="single" w:sz="8" w:space="0" w:color="5AA2AE" w:themeColor="accent5"/>
          <w:left w:val="single" w:sz="8" w:space="0" w:color="5AA2AE" w:themeColor="accent5"/>
          <w:bottom w:val="single" w:sz="8" w:space="0" w:color="5AA2AE" w:themeColor="accent5"/>
          <w:right w:val="single" w:sz="8" w:space="0" w:color="5AA2AE" w:themeColor="accent5"/>
          <w:insideV w:val="single" w:sz="8" w:space="0" w:color="5AA2AE" w:themeColor="accent5"/>
        </w:tcBorders>
        <w:shd w:val="clear" w:color="auto" w:fill="D6E7EB" w:themeFill="accent5" w:themeFillTint="3F"/>
      </w:tcPr>
    </w:tblStylePr>
    <w:tblStylePr w:type="band2Horz">
      <w:tblPr/>
      <w:tcPr>
        <w:tcBorders>
          <w:top w:val="single" w:sz="8" w:space="0" w:color="5AA2AE" w:themeColor="accent5"/>
          <w:left w:val="single" w:sz="8" w:space="0" w:color="5AA2AE" w:themeColor="accent5"/>
          <w:bottom w:val="single" w:sz="8" w:space="0" w:color="5AA2AE" w:themeColor="accent5"/>
          <w:right w:val="single" w:sz="8" w:space="0" w:color="5AA2AE" w:themeColor="accent5"/>
          <w:insideV w:val="single" w:sz="8" w:space="0" w:color="5AA2AE"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insideH w:val="single" w:sz="8" w:space="0" w:color="9D90A0" w:themeColor="accent6"/>
        <w:insideV w:val="single" w:sz="8" w:space="0" w:color="9D90A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D90A0" w:themeColor="accent6"/>
          <w:left w:val="single" w:sz="8" w:space="0" w:color="9D90A0" w:themeColor="accent6"/>
          <w:bottom w:val="single" w:sz="18" w:space="0" w:color="9D90A0" w:themeColor="accent6"/>
          <w:right w:val="single" w:sz="8" w:space="0" w:color="9D90A0" w:themeColor="accent6"/>
          <w:insideH w:val="nil"/>
          <w:insideV w:val="single" w:sz="8" w:space="0" w:color="9D90A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D90A0" w:themeColor="accent6"/>
          <w:left w:val="single" w:sz="8" w:space="0" w:color="9D90A0" w:themeColor="accent6"/>
          <w:bottom w:val="single" w:sz="8" w:space="0" w:color="9D90A0" w:themeColor="accent6"/>
          <w:right w:val="single" w:sz="8" w:space="0" w:color="9D90A0" w:themeColor="accent6"/>
          <w:insideH w:val="nil"/>
          <w:insideV w:val="single" w:sz="8" w:space="0" w:color="9D90A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tcPr>
    </w:tblStylePr>
    <w:tblStylePr w:type="band1Vert">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shd w:val="clear" w:color="auto" w:fill="E6E3E7" w:themeFill="accent6" w:themeFillTint="3F"/>
      </w:tcPr>
    </w:tblStylePr>
    <w:tblStylePr w:type="band1Horz">
      <w:tblPr/>
      <w:tcPr>
        <w:tcBorders>
          <w:top w:val="single" w:sz="8" w:space="0" w:color="9D90A0" w:themeColor="accent6"/>
          <w:left w:val="single" w:sz="8" w:space="0" w:color="9D90A0" w:themeColor="accent6"/>
          <w:bottom w:val="single" w:sz="8" w:space="0" w:color="9D90A0" w:themeColor="accent6"/>
          <w:right w:val="single" w:sz="8" w:space="0" w:color="9D90A0" w:themeColor="accent6"/>
          <w:insideV w:val="single" w:sz="8" w:space="0" w:color="9D90A0" w:themeColor="accent6"/>
        </w:tcBorders>
        <w:shd w:val="clear" w:color="auto" w:fill="E6E3E7" w:themeFill="accent6" w:themeFillTint="3F"/>
      </w:tcPr>
    </w:tblStylePr>
    <w:tblStylePr w:type="band2Horz">
      <w:tblPr/>
      <w:tcPr>
        <w:tcBorders>
          <w:top w:val="single" w:sz="8" w:space="0" w:color="9D90A0" w:themeColor="accent6"/>
          <w:left w:val="single" w:sz="8" w:space="0" w:color="9D90A0" w:themeColor="accent6"/>
          <w:bottom w:val="single" w:sz="8" w:space="0" w:color="9D90A0" w:themeColor="accent6"/>
          <w:right w:val="single" w:sz="8" w:space="0" w:color="9D90A0" w:themeColor="accent6"/>
          <w:insideV w:val="single" w:sz="8" w:space="0" w:color="9D90A0"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single" w:sz="8" w:space="0" w:color="748AC3" w:themeColor="accent1" w:themeTint="BF"/>
      </w:tblBorders>
    </w:tblPr>
    <w:tblStylePr w:type="firstRow">
      <w:pPr>
        <w:spacing w:before="0" w:after="0" w:line="240" w:lineRule="auto"/>
      </w:pPr>
      <w:rPr>
        <w:b/>
        <w:bCs/>
        <w:color w:val="FFFFFF" w:themeColor="background1"/>
      </w:rPr>
      <w:tblPr/>
      <w:tcPr>
        <w:tcBorders>
          <w:top w:val="single" w:sz="8"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nil"/>
          <w:insideV w:val="nil"/>
        </w:tcBorders>
        <w:shd w:val="clear" w:color="auto" w:fill="4A66AC" w:themeFill="accent1"/>
      </w:tcPr>
    </w:tblStylePr>
    <w:tblStylePr w:type="lastRow">
      <w:pPr>
        <w:spacing w:before="0" w:after="0" w:line="240" w:lineRule="auto"/>
      </w:pPr>
      <w:rPr>
        <w:b/>
        <w:bCs/>
      </w:rPr>
      <w:tblPr/>
      <w:tcPr>
        <w:tcBorders>
          <w:top w:val="double" w:sz="6"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D1D8EB" w:themeFill="accent1" w:themeFillTint="3F"/>
      </w:tcPr>
    </w:tblStylePr>
    <w:tblStylePr w:type="band1Horz">
      <w:tblPr/>
      <w:tcPr>
        <w:tcBorders>
          <w:insideH w:val="nil"/>
          <w:insideV w:val="nil"/>
        </w:tcBorders>
        <w:shd w:val="clear" w:color="auto" w:fill="D1D8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single" w:sz="8" w:space="0" w:color="89B5DC" w:themeColor="accent2" w:themeTint="BF"/>
      </w:tblBorders>
    </w:tblPr>
    <w:tblStylePr w:type="firstRow">
      <w:pPr>
        <w:spacing w:before="0" w:after="0" w:line="240" w:lineRule="auto"/>
      </w:pPr>
      <w:rPr>
        <w:b/>
        <w:bCs/>
        <w:color w:val="FFFFFF" w:themeColor="background1"/>
      </w:rPr>
      <w:tblPr/>
      <w:tcPr>
        <w:tcBorders>
          <w:top w:val="single" w:sz="8"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nil"/>
          <w:insideV w:val="nil"/>
        </w:tcBorders>
        <w:shd w:val="clear" w:color="auto" w:fill="629DD1" w:themeFill="accent2"/>
      </w:tcPr>
    </w:tblStylePr>
    <w:tblStylePr w:type="lastRow">
      <w:pPr>
        <w:spacing w:before="0" w:after="0" w:line="240" w:lineRule="auto"/>
      </w:pPr>
      <w:rPr>
        <w:b/>
        <w:bCs/>
      </w:rPr>
      <w:tblPr/>
      <w:tcPr>
        <w:tcBorders>
          <w:top w:val="double" w:sz="6"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nil"/>
          <w:insideV w:val="nil"/>
        </w:tcBorders>
      </w:tcPr>
    </w:tblStylePr>
    <w:tblStylePr w:type="firstCol">
      <w:rPr>
        <w:b/>
        <w:bCs/>
      </w:rPr>
    </w:tblStylePr>
    <w:tblStylePr w:type="lastCol">
      <w:rPr>
        <w:b/>
        <w:bCs/>
      </w:rPr>
    </w:tblStylePr>
    <w:tblStylePr w:type="band1Vert">
      <w:tblPr/>
      <w:tcPr>
        <w:shd w:val="clear" w:color="auto" w:fill="D8E6F3" w:themeFill="accent2" w:themeFillTint="3F"/>
      </w:tcPr>
    </w:tblStylePr>
    <w:tblStylePr w:type="band1Horz">
      <w:tblPr/>
      <w:tcPr>
        <w:tcBorders>
          <w:insideH w:val="nil"/>
          <w:insideV w:val="nil"/>
        </w:tcBorders>
        <w:shd w:val="clear" w:color="auto" w:fill="D8E6F3"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single" w:sz="8" w:space="0" w:color="5D9EE0" w:themeColor="accent3" w:themeTint="BF"/>
      </w:tblBorders>
    </w:tblPr>
    <w:tblStylePr w:type="firstRow">
      <w:pPr>
        <w:spacing w:before="0" w:after="0" w:line="240" w:lineRule="auto"/>
      </w:pPr>
      <w:rPr>
        <w:b/>
        <w:bCs/>
        <w:color w:val="FFFFFF" w:themeColor="background1"/>
      </w:rPr>
      <w:tblPr/>
      <w:tcPr>
        <w:tcBorders>
          <w:top w:val="single" w:sz="8"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nil"/>
          <w:insideV w:val="nil"/>
        </w:tcBorders>
        <w:shd w:val="clear" w:color="auto" w:fill="297FD5" w:themeFill="accent3"/>
      </w:tcPr>
    </w:tblStylePr>
    <w:tblStylePr w:type="lastRow">
      <w:pPr>
        <w:spacing w:before="0" w:after="0" w:line="240" w:lineRule="auto"/>
      </w:pPr>
      <w:rPr>
        <w:b/>
        <w:bCs/>
      </w:rPr>
      <w:tblPr/>
      <w:tcPr>
        <w:tcBorders>
          <w:top w:val="double" w:sz="6"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nil"/>
          <w:insideV w:val="nil"/>
        </w:tcBorders>
      </w:tcPr>
    </w:tblStylePr>
    <w:tblStylePr w:type="firstCol">
      <w:rPr>
        <w:b/>
        <w:bCs/>
      </w:rPr>
    </w:tblStylePr>
    <w:tblStylePr w:type="lastCol">
      <w:rPr>
        <w:b/>
        <w:bCs/>
      </w:rPr>
    </w:tblStylePr>
    <w:tblStylePr w:type="band1Vert">
      <w:tblPr/>
      <w:tcPr>
        <w:shd w:val="clear" w:color="auto" w:fill="C9DFF4" w:themeFill="accent3" w:themeFillTint="3F"/>
      </w:tcPr>
    </w:tblStylePr>
    <w:tblStylePr w:type="band1Horz">
      <w:tblPr/>
      <w:tcPr>
        <w:tcBorders>
          <w:insideH w:val="nil"/>
          <w:insideV w:val="nil"/>
        </w:tcBorders>
        <w:shd w:val="clear" w:color="auto" w:fill="C9DFF4"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single" w:sz="8" w:space="0" w:color="9FABBE" w:themeColor="accent4" w:themeTint="BF"/>
      </w:tblBorders>
    </w:tblPr>
    <w:tblStylePr w:type="firstRow">
      <w:pPr>
        <w:spacing w:before="0" w:after="0" w:line="240" w:lineRule="auto"/>
      </w:pPr>
      <w:rPr>
        <w:b/>
        <w:bCs/>
        <w:color w:val="FFFFFF" w:themeColor="background1"/>
      </w:rPr>
      <w:tblPr/>
      <w:tcPr>
        <w:tcBorders>
          <w:top w:val="single" w:sz="8"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nil"/>
          <w:insideV w:val="nil"/>
        </w:tcBorders>
        <w:shd w:val="clear" w:color="auto" w:fill="7F8FA9" w:themeFill="accent4"/>
      </w:tcPr>
    </w:tblStylePr>
    <w:tblStylePr w:type="lastRow">
      <w:pPr>
        <w:spacing w:before="0" w:after="0" w:line="240" w:lineRule="auto"/>
      </w:pPr>
      <w:rPr>
        <w:b/>
        <w:bCs/>
      </w:rPr>
      <w:tblPr/>
      <w:tcPr>
        <w:tcBorders>
          <w:top w:val="double" w:sz="6"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E3E9" w:themeFill="accent4" w:themeFillTint="3F"/>
      </w:tcPr>
    </w:tblStylePr>
    <w:tblStylePr w:type="band1Horz">
      <w:tblPr/>
      <w:tcPr>
        <w:tcBorders>
          <w:insideH w:val="nil"/>
          <w:insideV w:val="nil"/>
        </w:tcBorders>
        <w:shd w:val="clear" w:color="auto" w:fill="DFE3E9"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single" w:sz="8" w:space="0" w:color="83B9C2" w:themeColor="accent5" w:themeTint="BF"/>
      </w:tblBorders>
    </w:tblPr>
    <w:tblStylePr w:type="firstRow">
      <w:pPr>
        <w:spacing w:before="0" w:after="0" w:line="240" w:lineRule="auto"/>
      </w:pPr>
      <w:rPr>
        <w:b/>
        <w:bCs/>
        <w:color w:val="FFFFFF" w:themeColor="background1"/>
      </w:rPr>
      <w:tblPr/>
      <w:tcPr>
        <w:tcBorders>
          <w:top w:val="single" w:sz="8"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nil"/>
          <w:insideV w:val="nil"/>
        </w:tcBorders>
        <w:shd w:val="clear" w:color="auto" w:fill="5AA2AE" w:themeFill="accent5"/>
      </w:tcPr>
    </w:tblStylePr>
    <w:tblStylePr w:type="lastRow">
      <w:pPr>
        <w:spacing w:before="0" w:after="0" w:line="240" w:lineRule="auto"/>
      </w:pPr>
      <w:rPr>
        <w:b/>
        <w:bCs/>
      </w:rPr>
      <w:tblPr/>
      <w:tcPr>
        <w:tcBorders>
          <w:top w:val="double" w:sz="6"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7EB" w:themeFill="accent5" w:themeFillTint="3F"/>
      </w:tcPr>
    </w:tblStylePr>
    <w:tblStylePr w:type="band1Horz">
      <w:tblPr/>
      <w:tcPr>
        <w:tcBorders>
          <w:insideH w:val="nil"/>
          <w:insideV w:val="nil"/>
        </w:tcBorders>
        <w:shd w:val="clear" w:color="auto" w:fill="D6E7EB"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single" w:sz="8" w:space="0" w:color="B5ABB7" w:themeColor="accent6" w:themeTint="BF"/>
      </w:tblBorders>
    </w:tblPr>
    <w:tblStylePr w:type="firstRow">
      <w:pPr>
        <w:spacing w:before="0" w:after="0" w:line="240" w:lineRule="auto"/>
      </w:pPr>
      <w:rPr>
        <w:b/>
        <w:bCs/>
        <w:color w:val="FFFFFF" w:themeColor="background1"/>
      </w:rPr>
      <w:tblPr/>
      <w:tcPr>
        <w:tcBorders>
          <w:top w:val="single" w:sz="8"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nil"/>
          <w:insideV w:val="nil"/>
        </w:tcBorders>
        <w:shd w:val="clear" w:color="auto" w:fill="9D90A0" w:themeFill="accent6"/>
      </w:tcPr>
    </w:tblStylePr>
    <w:tblStylePr w:type="lastRow">
      <w:pPr>
        <w:spacing w:before="0" w:after="0" w:line="240" w:lineRule="auto"/>
      </w:pPr>
      <w:rPr>
        <w:b/>
        <w:bCs/>
      </w:rPr>
      <w:tblPr/>
      <w:tcPr>
        <w:tcBorders>
          <w:top w:val="double" w:sz="6"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nil"/>
          <w:insideV w:val="nil"/>
        </w:tcBorders>
      </w:tcPr>
    </w:tblStylePr>
    <w:tblStylePr w:type="firstCol">
      <w:rPr>
        <w:b/>
        <w:bCs/>
      </w:rPr>
    </w:tblStylePr>
    <w:tblStylePr w:type="lastCol">
      <w:rPr>
        <w:b/>
        <w:bCs/>
      </w:rPr>
    </w:tblStylePr>
    <w:tblStylePr w:type="band1Vert">
      <w:tblPr/>
      <w:tcPr>
        <w:shd w:val="clear" w:color="auto" w:fill="E6E3E7" w:themeFill="accent6" w:themeFillTint="3F"/>
      </w:tcPr>
    </w:tblStylePr>
    <w:tblStylePr w:type="band1Horz">
      <w:tblPr/>
      <w:tcPr>
        <w:tcBorders>
          <w:insideH w:val="nil"/>
          <w:insideV w:val="nil"/>
        </w:tcBorders>
        <w:shd w:val="clear" w:color="auto" w:fill="E6E3E7"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A66A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A66AC" w:themeFill="accent1"/>
      </w:tcPr>
    </w:tblStylePr>
    <w:tblStylePr w:type="lastCol">
      <w:rPr>
        <w:b/>
        <w:bCs/>
        <w:color w:val="FFFFFF" w:themeColor="background1"/>
      </w:rPr>
      <w:tblPr/>
      <w:tcPr>
        <w:tcBorders>
          <w:left w:val="nil"/>
          <w:right w:val="nil"/>
          <w:insideH w:val="nil"/>
          <w:insideV w:val="nil"/>
        </w:tcBorders>
        <w:shd w:val="clear" w:color="auto" w:fill="4A66A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29DD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29DD1" w:themeFill="accent2"/>
      </w:tcPr>
    </w:tblStylePr>
    <w:tblStylePr w:type="lastCol">
      <w:rPr>
        <w:b/>
        <w:bCs/>
        <w:color w:val="FFFFFF" w:themeColor="background1"/>
      </w:rPr>
      <w:tblPr/>
      <w:tcPr>
        <w:tcBorders>
          <w:left w:val="nil"/>
          <w:right w:val="nil"/>
          <w:insideH w:val="nil"/>
          <w:insideV w:val="nil"/>
        </w:tcBorders>
        <w:shd w:val="clear" w:color="auto" w:fill="629DD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97FD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97FD5" w:themeFill="accent3"/>
      </w:tcPr>
    </w:tblStylePr>
    <w:tblStylePr w:type="lastCol">
      <w:rPr>
        <w:b/>
        <w:bCs/>
        <w:color w:val="FFFFFF" w:themeColor="background1"/>
      </w:rPr>
      <w:tblPr/>
      <w:tcPr>
        <w:tcBorders>
          <w:left w:val="nil"/>
          <w:right w:val="nil"/>
          <w:insideH w:val="nil"/>
          <w:insideV w:val="nil"/>
        </w:tcBorders>
        <w:shd w:val="clear" w:color="auto" w:fill="297FD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F8FA9"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F8FA9" w:themeFill="accent4"/>
      </w:tcPr>
    </w:tblStylePr>
    <w:tblStylePr w:type="lastCol">
      <w:rPr>
        <w:b/>
        <w:bCs/>
        <w:color w:val="FFFFFF" w:themeColor="background1"/>
      </w:rPr>
      <w:tblPr/>
      <w:tcPr>
        <w:tcBorders>
          <w:left w:val="nil"/>
          <w:right w:val="nil"/>
          <w:insideH w:val="nil"/>
          <w:insideV w:val="nil"/>
        </w:tcBorders>
        <w:shd w:val="clear" w:color="auto" w:fill="7F8FA9"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AA2AE"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AA2AE" w:themeFill="accent5"/>
      </w:tcPr>
    </w:tblStylePr>
    <w:tblStylePr w:type="lastCol">
      <w:rPr>
        <w:b/>
        <w:bCs/>
        <w:color w:val="FFFFFF" w:themeColor="background1"/>
      </w:rPr>
      <w:tblPr/>
      <w:tcPr>
        <w:tcBorders>
          <w:left w:val="nil"/>
          <w:right w:val="nil"/>
          <w:insideH w:val="nil"/>
          <w:insideV w:val="nil"/>
        </w:tcBorders>
        <w:shd w:val="clear" w:color="auto" w:fill="5AA2A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D90A0"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D90A0" w:themeFill="accent6"/>
      </w:tcPr>
    </w:tblStylePr>
    <w:tblStylePr w:type="lastCol">
      <w:rPr>
        <w:b/>
        <w:bCs/>
        <w:color w:val="FFFFFF" w:themeColor="background1"/>
      </w:rPr>
      <w:tblPr/>
      <w:tcPr>
        <w:tcBorders>
          <w:left w:val="nil"/>
          <w:right w:val="nil"/>
          <w:insideH w:val="nil"/>
          <w:insideV w:val="nil"/>
        </w:tcBorders>
        <w:shd w:val="clear" w:color="auto" w:fill="9D90A0"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242852"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A66AC" w:themeColor="accent1"/>
        <w:bottom w:val="single" w:sz="8" w:space="0" w:color="4A66AC" w:themeColor="accent1"/>
      </w:tblBorders>
    </w:tblPr>
    <w:tblStylePr w:type="firstRow">
      <w:rPr>
        <w:rFonts w:asciiTheme="majorHAnsi" w:eastAsiaTheme="majorEastAsia" w:hAnsiTheme="majorHAnsi" w:cstheme="majorBidi"/>
      </w:rPr>
      <w:tblPr/>
      <w:tcPr>
        <w:tcBorders>
          <w:top w:val="nil"/>
          <w:bottom w:val="single" w:sz="8" w:space="0" w:color="4A66AC" w:themeColor="accent1"/>
        </w:tcBorders>
      </w:tcPr>
    </w:tblStylePr>
    <w:tblStylePr w:type="lastRow">
      <w:rPr>
        <w:b/>
        <w:bCs/>
        <w:color w:val="242852" w:themeColor="text2"/>
      </w:rPr>
      <w:tblPr/>
      <w:tcPr>
        <w:tcBorders>
          <w:top w:val="single" w:sz="8" w:space="0" w:color="4A66AC" w:themeColor="accent1"/>
          <w:bottom w:val="single" w:sz="8" w:space="0" w:color="4A66AC" w:themeColor="accent1"/>
        </w:tcBorders>
      </w:tcPr>
    </w:tblStylePr>
    <w:tblStylePr w:type="firstCol">
      <w:rPr>
        <w:b/>
        <w:bCs/>
      </w:rPr>
    </w:tblStylePr>
    <w:tblStylePr w:type="lastCol">
      <w:rPr>
        <w:b/>
        <w:bCs/>
      </w:rPr>
      <w:tblPr/>
      <w:tcPr>
        <w:tcBorders>
          <w:top w:val="single" w:sz="8" w:space="0" w:color="4A66AC" w:themeColor="accent1"/>
          <w:bottom w:val="single" w:sz="8" w:space="0" w:color="4A66AC" w:themeColor="accent1"/>
        </w:tcBorders>
      </w:tcPr>
    </w:tblStylePr>
    <w:tblStylePr w:type="band1Vert">
      <w:tblPr/>
      <w:tcPr>
        <w:shd w:val="clear" w:color="auto" w:fill="D1D8EB" w:themeFill="accent1" w:themeFillTint="3F"/>
      </w:tcPr>
    </w:tblStylePr>
    <w:tblStylePr w:type="band1Horz">
      <w:tblPr/>
      <w:tcPr>
        <w:shd w:val="clear" w:color="auto" w:fill="D1D8EB"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629DD1" w:themeColor="accent2"/>
        <w:bottom w:val="single" w:sz="8" w:space="0" w:color="629DD1" w:themeColor="accent2"/>
      </w:tblBorders>
    </w:tblPr>
    <w:tblStylePr w:type="firstRow">
      <w:rPr>
        <w:rFonts w:asciiTheme="majorHAnsi" w:eastAsiaTheme="majorEastAsia" w:hAnsiTheme="majorHAnsi" w:cstheme="majorBidi"/>
      </w:rPr>
      <w:tblPr/>
      <w:tcPr>
        <w:tcBorders>
          <w:top w:val="nil"/>
          <w:bottom w:val="single" w:sz="8" w:space="0" w:color="629DD1" w:themeColor="accent2"/>
        </w:tcBorders>
      </w:tcPr>
    </w:tblStylePr>
    <w:tblStylePr w:type="lastRow">
      <w:rPr>
        <w:b/>
        <w:bCs/>
        <w:color w:val="242852" w:themeColor="text2"/>
      </w:rPr>
      <w:tblPr/>
      <w:tcPr>
        <w:tcBorders>
          <w:top w:val="single" w:sz="8" w:space="0" w:color="629DD1" w:themeColor="accent2"/>
          <w:bottom w:val="single" w:sz="8" w:space="0" w:color="629DD1" w:themeColor="accent2"/>
        </w:tcBorders>
      </w:tcPr>
    </w:tblStylePr>
    <w:tblStylePr w:type="firstCol">
      <w:rPr>
        <w:b/>
        <w:bCs/>
      </w:rPr>
    </w:tblStylePr>
    <w:tblStylePr w:type="lastCol">
      <w:rPr>
        <w:b/>
        <w:bCs/>
      </w:rPr>
      <w:tblPr/>
      <w:tcPr>
        <w:tcBorders>
          <w:top w:val="single" w:sz="8" w:space="0" w:color="629DD1" w:themeColor="accent2"/>
          <w:bottom w:val="single" w:sz="8" w:space="0" w:color="629DD1" w:themeColor="accent2"/>
        </w:tcBorders>
      </w:tcPr>
    </w:tblStylePr>
    <w:tblStylePr w:type="band1Vert">
      <w:tblPr/>
      <w:tcPr>
        <w:shd w:val="clear" w:color="auto" w:fill="D8E6F3" w:themeFill="accent2" w:themeFillTint="3F"/>
      </w:tcPr>
    </w:tblStylePr>
    <w:tblStylePr w:type="band1Horz">
      <w:tblPr/>
      <w:tcPr>
        <w:shd w:val="clear" w:color="auto" w:fill="D8E6F3"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297FD5" w:themeColor="accent3"/>
        <w:bottom w:val="single" w:sz="8" w:space="0" w:color="297FD5" w:themeColor="accent3"/>
      </w:tblBorders>
    </w:tblPr>
    <w:tblStylePr w:type="firstRow">
      <w:rPr>
        <w:rFonts w:asciiTheme="majorHAnsi" w:eastAsiaTheme="majorEastAsia" w:hAnsiTheme="majorHAnsi" w:cstheme="majorBidi"/>
      </w:rPr>
      <w:tblPr/>
      <w:tcPr>
        <w:tcBorders>
          <w:top w:val="nil"/>
          <w:bottom w:val="single" w:sz="8" w:space="0" w:color="297FD5" w:themeColor="accent3"/>
        </w:tcBorders>
      </w:tcPr>
    </w:tblStylePr>
    <w:tblStylePr w:type="lastRow">
      <w:rPr>
        <w:b/>
        <w:bCs/>
        <w:color w:val="242852" w:themeColor="text2"/>
      </w:rPr>
      <w:tblPr/>
      <w:tcPr>
        <w:tcBorders>
          <w:top w:val="single" w:sz="8" w:space="0" w:color="297FD5" w:themeColor="accent3"/>
          <w:bottom w:val="single" w:sz="8" w:space="0" w:color="297FD5" w:themeColor="accent3"/>
        </w:tcBorders>
      </w:tcPr>
    </w:tblStylePr>
    <w:tblStylePr w:type="firstCol">
      <w:rPr>
        <w:b/>
        <w:bCs/>
      </w:rPr>
    </w:tblStylePr>
    <w:tblStylePr w:type="lastCol">
      <w:rPr>
        <w:b/>
        <w:bCs/>
      </w:rPr>
      <w:tblPr/>
      <w:tcPr>
        <w:tcBorders>
          <w:top w:val="single" w:sz="8" w:space="0" w:color="297FD5" w:themeColor="accent3"/>
          <w:bottom w:val="single" w:sz="8" w:space="0" w:color="297FD5" w:themeColor="accent3"/>
        </w:tcBorders>
      </w:tcPr>
    </w:tblStylePr>
    <w:tblStylePr w:type="band1Vert">
      <w:tblPr/>
      <w:tcPr>
        <w:shd w:val="clear" w:color="auto" w:fill="C9DFF4" w:themeFill="accent3" w:themeFillTint="3F"/>
      </w:tcPr>
    </w:tblStylePr>
    <w:tblStylePr w:type="band1Horz">
      <w:tblPr/>
      <w:tcPr>
        <w:shd w:val="clear" w:color="auto" w:fill="C9DFF4"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7F8FA9" w:themeColor="accent4"/>
        <w:bottom w:val="single" w:sz="8" w:space="0" w:color="7F8FA9" w:themeColor="accent4"/>
      </w:tblBorders>
    </w:tblPr>
    <w:tblStylePr w:type="firstRow">
      <w:rPr>
        <w:rFonts w:asciiTheme="majorHAnsi" w:eastAsiaTheme="majorEastAsia" w:hAnsiTheme="majorHAnsi" w:cstheme="majorBidi"/>
      </w:rPr>
      <w:tblPr/>
      <w:tcPr>
        <w:tcBorders>
          <w:top w:val="nil"/>
          <w:bottom w:val="single" w:sz="8" w:space="0" w:color="7F8FA9" w:themeColor="accent4"/>
        </w:tcBorders>
      </w:tcPr>
    </w:tblStylePr>
    <w:tblStylePr w:type="lastRow">
      <w:rPr>
        <w:b/>
        <w:bCs/>
        <w:color w:val="242852" w:themeColor="text2"/>
      </w:rPr>
      <w:tblPr/>
      <w:tcPr>
        <w:tcBorders>
          <w:top w:val="single" w:sz="8" w:space="0" w:color="7F8FA9" w:themeColor="accent4"/>
          <w:bottom w:val="single" w:sz="8" w:space="0" w:color="7F8FA9" w:themeColor="accent4"/>
        </w:tcBorders>
      </w:tcPr>
    </w:tblStylePr>
    <w:tblStylePr w:type="firstCol">
      <w:rPr>
        <w:b/>
        <w:bCs/>
      </w:rPr>
    </w:tblStylePr>
    <w:tblStylePr w:type="lastCol">
      <w:rPr>
        <w:b/>
        <w:bCs/>
      </w:rPr>
      <w:tblPr/>
      <w:tcPr>
        <w:tcBorders>
          <w:top w:val="single" w:sz="8" w:space="0" w:color="7F8FA9" w:themeColor="accent4"/>
          <w:bottom w:val="single" w:sz="8" w:space="0" w:color="7F8FA9" w:themeColor="accent4"/>
        </w:tcBorders>
      </w:tcPr>
    </w:tblStylePr>
    <w:tblStylePr w:type="band1Vert">
      <w:tblPr/>
      <w:tcPr>
        <w:shd w:val="clear" w:color="auto" w:fill="DFE3E9" w:themeFill="accent4" w:themeFillTint="3F"/>
      </w:tcPr>
    </w:tblStylePr>
    <w:tblStylePr w:type="band1Horz">
      <w:tblPr/>
      <w:tcPr>
        <w:shd w:val="clear" w:color="auto" w:fill="DFE3E9"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AA2AE" w:themeColor="accent5"/>
        <w:bottom w:val="single" w:sz="8" w:space="0" w:color="5AA2AE" w:themeColor="accent5"/>
      </w:tblBorders>
    </w:tblPr>
    <w:tblStylePr w:type="firstRow">
      <w:rPr>
        <w:rFonts w:asciiTheme="majorHAnsi" w:eastAsiaTheme="majorEastAsia" w:hAnsiTheme="majorHAnsi" w:cstheme="majorBidi"/>
      </w:rPr>
      <w:tblPr/>
      <w:tcPr>
        <w:tcBorders>
          <w:top w:val="nil"/>
          <w:bottom w:val="single" w:sz="8" w:space="0" w:color="5AA2AE" w:themeColor="accent5"/>
        </w:tcBorders>
      </w:tcPr>
    </w:tblStylePr>
    <w:tblStylePr w:type="lastRow">
      <w:rPr>
        <w:b/>
        <w:bCs/>
        <w:color w:val="242852" w:themeColor="text2"/>
      </w:rPr>
      <w:tblPr/>
      <w:tcPr>
        <w:tcBorders>
          <w:top w:val="single" w:sz="8" w:space="0" w:color="5AA2AE" w:themeColor="accent5"/>
          <w:bottom w:val="single" w:sz="8" w:space="0" w:color="5AA2AE" w:themeColor="accent5"/>
        </w:tcBorders>
      </w:tcPr>
    </w:tblStylePr>
    <w:tblStylePr w:type="firstCol">
      <w:rPr>
        <w:b/>
        <w:bCs/>
      </w:rPr>
    </w:tblStylePr>
    <w:tblStylePr w:type="lastCol">
      <w:rPr>
        <w:b/>
        <w:bCs/>
      </w:rPr>
      <w:tblPr/>
      <w:tcPr>
        <w:tcBorders>
          <w:top w:val="single" w:sz="8" w:space="0" w:color="5AA2AE" w:themeColor="accent5"/>
          <w:bottom w:val="single" w:sz="8" w:space="0" w:color="5AA2AE" w:themeColor="accent5"/>
        </w:tcBorders>
      </w:tcPr>
    </w:tblStylePr>
    <w:tblStylePr w:type="band1Vert">
      <w:tblPr/>
      <w:tcPr>
        <w:shd w:val="clear" w:color="auto" w:fill="D6E7EB" w:themeFill="accent5" w:themeFillTint="3F"/>
      </w:tcPr>
    </w:tblStylePr>
    <w:tblStylePr w:type="band1Horz">
      <w:tblPr/>
      <w:tcPr>
        <w:shd w:val="clear" w:color="auto" w:fill="D6E7EB"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9D90A0" w:themeColor="accent6"/>
        <w:bottom w:val="single" w:sz="8" w:space="0" w:color="9D90A0" w:themeColor="accent6"/>
      </w:tblBorders>
    </w:tblPr>
    <w:tblStylePr w:type="firstRow">
      <w:rPr>
        <w:rFonts w:asciiTheme="majorHAnsi" w:eastAsiaTheme="majorEastAsia" w:hAnsiTheme="majorHAnsi" w:cstheme="majorBidi"/>
      </w:rPr>
      <w:tblPr/>
      <w:tcPr>
        <w:tcBorders>
          <w:top w:val="nil"/>
          <w:bottom w:val="single" w:sz="8" w:space="0" w:color="9D90A0" w:themeColor="accent6"/>
        </w:tcBorders>
      </w:tcPr>
    </w:tblStylePr>
    <w:tblStylePr w:type="lastRow">
      <w:rPr>
        <w:b/>
        <w:bCs/>
        <w:color w:val="242852" w:themeColor="text2"/>
      </w:rPr>
      <w:tblPr/>
      <w:tcPr>
        <w:tcBorders>
          <w:top w:val="single" w:sz="8" w:space="0" w:color="9D90A0" w:themeColor="accent6"/>
          <w:bottom w:val="single" w:sz="8" w:space="0" w:color="9D90A0" w:themeColor="accent6"/>
        </w:tcBorders>
      </w:tcPr>
    </w:tblStylePr>
    <w:tblStylePr w:type="firstCol">
      <w:rPr>
        <w:b/>
        <w:bCs/>
      </w:rPr>
    </w:tblStylePr>
    <w:tblStylePr w:type="lastCol">
      <w:rPr>
        <w:b/>
        <w:bCs/>
      </w:rPr>
      <w:tblPr/>
      <w:tcPr>
        <w:tcBorders>
          <w:top w:val="single" w:sz="8" w:space="0" w:color="9D90A0" w:themeColor="accent6"/>
          <w:bottom w:val="single" w:sz="8" w:space="0" w:color="9D90A0" w:themeColor="accent6"/>
        </w:tcBorders>
      </w:tcPr>
    </w:tblStylePr>
    <w:tblStylePr w:type="band1Vert">
      <w:tblPr/>
      <w:tcPr>
        <w:shd w:val="clear" w:color="auto" w:fill="E6E3E7" w:themeFill="accent6" w:themeFillTint="3F"/>
      </w:tcPr>
    </w:tblStylePr>
    <w:tblStylePr w:type="band1Horz">
      <w:tblPr/>
      <w:tcPr>
        <w:shd w:val="clear" w:color="auto" w:fill="E6E3E7"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A66AC" w:themeColor="accent1"/>
        <w:left w:val="single" w:sz="8" w:space="0" w:color="4A66AC" w:themeColor="accent1"/>
        <w:bottom w:val="single" w:sz="8" w:space="0" w:color="4A66AC" w:themeColor="accent1"/>
        <w:right w:val="single" w:sz="8" w:space="0" w:color="4A66AC" w:themeColor="accent1"/>
      </w:tblBorders>
    </w:tblPr>
    <w:tblStylePr w:type="firstRow">
      <w:rPr>
        <w:sz w:val="24"/>
        <w:szCs w:val="24"/>
      </w:rPr>
      <w:tblPr/>
      <w:tcPr>
        <w:tcBorders>
          <w:top w:val="nil"/>
          <w:left w:val="nil"/>
          <w:bottom w:val="single" w:sz="24" w:space="0" w:color="4A66AC" w:themeColor="accent1"/>
          <w:right w:val="nil"/>
          <w:insideH w:val="nil"/>
          <w:insideV w:val="nil"/>
        </w:tcBorders>
        <w:shd w:val="clear" w:color="auto" w:fill="FFFFFF" w:themeFill="background1"/>
      </w:tcPr>
    </w:tblStylePr>
    <w:tblStylePr w:type="lastRow">
      <w:tblPr/>
      <w:tcPr>
        <w:tcBorders>
          <w:top w:val="single" w:sz="8" w:space="0" w:color="4A66AC"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A66AC" w:themeColor="accent1"/>
          <w:insideH w:val="nil"/>
          <w:insideV w:val="nil"/>
        </w:tcBorders>
        <w:shd w:val="clear" w:color="auto" w:fill="FFFFFF" w:themeFill="background1"/>
      </w:tcPr>
    </w:tblStylePr>
    <w:tblStylePr w:type="lastCol">
      <w:tblPr/>
      <w:tcPr>
        <w:tcBorders>
          <w:top w:val="nil"/>
          <w:left w:val="single" w:sz="8" w:space="0" w:color="4A66A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8EB" w:themeFill="accent1" w:themeFillTint="3F"/>
      </w:tcPr>
    </w:tblStylePr>
    <w:tblStylePr w:type="band1Horz">
      <w:tblPr/>
      <w:tcPr>
        <w:tcBorders>
          <w:top w:val="nil"/>
          <w:bottom w:val="nil"/>
          <w:insideH w:val="nil"/>
          <w:insideV w:val="nil"/>
        </w:tcBorders>
        <w:shd w:val="clear" w:color="auto" w:fill="D1D8EB"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29DD1" w:themeColor="accent2"/>
        <w:left w:val="single" w:sz="8" w:space="0" w:color="629DD1" w:themeColor="accent2"/>
        <w:bottom w:val="single" w:sz="8" w:space="0" w:color="629DD1" w:themeColor="accent2"/>
        <w:right w:val="single" w:sz="8" w:space="0" w:color="629DD1" w:themeColor="accent2"/>
      </w:tblBorders>
    </w:tblPr>
    <w:tblStylePr w:type="firstRow">
      <w:rPr>
        <w:sz w:val="24"/>
        <w:szCs w:val="24"/>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tblPr/>
      <w:tcPr>
        <w:tcBorders>
          <w:top w:val="single" w:sz="8" w:space="0" w:color="629DD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29DD1" w:themeColor="accent2"/>
          <w:insideH w:val="nil"/>
          <w:insideV w:val="nil"/>
        </w:tcBorders>
        <w:shd w:val="clear" w:color="auto" w:fill="FFFFFF" w:themeFill="background1"/>
      </w:tcPr>
    </w:tblStylePr>
    <w:tblStylePr w:type="lastCol">
      <w:tblPr/>
      <w:tcPr>
        <w:tcBorders>
          <w:top w:val="nil"/>
          <w:left w:val="single" w:sz="8" w:space="0" w:color="629DD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E6F3" w:themeFill="accent2" w:themeFillTint="3F"/>
      </w:tcPr>
    </w:tblStylePr>
    <w:tblStylePr w:type="band1Horz">
      <w:tblPr/>
      <w:tcPr>
        <w:tcBorders>
          <w:top w:val="nil"/>
          <w:bottom w:val="nil"/>
          <w:insideH w:val="nil"/>
          <w:insideV w:val="nil"/>
        </w:tcBorders>
        <w:shd w:val="clear" w:color="auto" w:fill="D8E6F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97FD5" w:themeColor="accent3"/>
        <w:left w:val="single" w:sz="8" w:space="0" w:color="297FD5" w:themeColor="accent3"/>
        <w:bottom w:val="single" w:sz="8" w:space="0" w:color="297FD5" w:themeColor="accent3"/>
        <w:right w:val="single" w:sz="8" w:space="0" w:color="297FD5" w:themeColor="accent3"/>
      </w:tblBorders>
    </w:tblPr>
    <w:tblStylePr w:type="firstRow">
      <w:rPr>
        <w:sz w:val="24"/>
        <w:szCs w:val="24"/>
      </w:rPr>
      <w:tblPr/>
      <w:tcPr>
        <w:tcBorders>
          <w:top w:val="nil"/>
          <w:left w:val="nil"/>
          <w:bottom w:val="single" w:sz="24" w:space="0" w:color="297FD5" w:themeColor="accent3"/>
          <w:right w:val="nil"/>
          <w:insideH w:val="nil"/>
          <w:insideV w:val="nil"/>
        </w:tcBorders>
        <w:shd w:val="clear" w:color="auto" w:fill="FFFFFF" w:themeFill="background1"/>
      </w:tcPr>
    </w:tblStylePr>
    <w:tblStylePr w:type="lastRow">
      <w:tblPr/>
      <w:tcPr>
        <w:tcBorders>
          <w:top w:val="single" w:sz="8" w:space="0" w:color="297FD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97FD5" w:themeColor="accent3"/>
          <w:insideH w:val="nil"/>
          <w:insideV w:val="nil"/>
        </w:tcBorders>
        <w:shd w:val="clear" w:color="auto" w:fill="FFFFFF" w:themeFill="background1"/>
      </w:tcPr>
    </w:tblStylePr>
    <w:tblStylePr w:type="lastCol">
      <w:tblPr/>
      <w:tcPr>
        <w:tcBorders>
          <w:top w:val="nil"/>
          <w:left w:val="single" w:sz="8" w:space="0" w:color="297FD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DFF4" w:themeFill="accent3" w:themeFillTint="3F"/>
      </w:tcPr>
    </w:tblStylePr>
    <w:tblStylePr w:type="band1Horz">
      <w:tblPr/>
      <w:tcPr>
        <w:tcBorders>
          <w:top w:val="nil"/>
          <w:bottom w:val="nil"/>
          <w:insideH w:val="nil"/>
          <w:insideV w:val="nil"/>
        </w:tcBorders>
        <w:shd w:val="clear" w:color="auto" w:fill="C9DFF4"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F8FA9" w:themeColor="accent4"/>
        <w:left w:val="single" w:sz="8" w:space="0" w:color="7F8FA9" w:themeColor="accent4"/>
        <w:bottom w:val="single" w:sz="8" w:space="0" w:color="7F8FA9" w:themeColor="accent4"/>
        <w:right w:val="single" w:sz="8" w:space="0" w:color="7F8FA9" w:themeColor="accent4"/>
      </w:tblBorders>
    </w:tblPr>
    <w:tblStylePr w:type="firstRow">
      <w:rPr>
        <w:sz w:val="24"/>
        <w:szCs w:val="24"/>
      </w:rPr>
      <w:tblPr/>
      <w:tcPr>
        <w:tcBorders>
          <w:top w:val="nil"/>
          <w:left w:val="nil"/>
          <w:bottom w:val="single" w:sz="24" w:space="0" w:color="7F8FA9" w:themeColor="accent4"/>
          <w:right w:val="nil"/>
          <w:insideH w:val="nil"/>
          <w:insideV w:val="nil"/>
        </w:tcBorders>
        <w:shd w:val="clear" w:color="auto" w:fill="FFFFFF" w:themeFill="background1"/>
      </w:tcPr>
    </w:tblStylePr>
    <w:tblStylePr w:type="lastRow">
      <w:tblPr/>
      <w:tcPr>
        <w:tcBorders>
          <w:top w:val="single" w:sz="8" w:space="0" w:color="7F8FA9"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F8FA9" w:themeColor="accent4"/>
          <w:insideH w:val="nil"/>
          <w:insideV w:val="nil"/>
        </w:tcBorders>
        <w:shd w:val="clear" w:color="auto" w:fill="FFFFFF" w:themeFill="background1"/>
      </w:tcPr>
    </w:tblStylePr>
    <w:tblStylePr w:type="lastCol">
      <w:tblPr/>
      <w:tcPr>
        <w:tcBorders>
          <w:top w:val="nil"/>
          <w:left w:val="single" w:sz="8" w:space="0" w:color="7F8FA9"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E3E9" w:themeFill="accent4" w:themeFillTint="3F"/>
      </w:tcPr>
    </w:tblStylePr>
    <w:tblStylePr w:type="band1Horz">
      <w:tblPr/>
      <w:tcPr>
        <w:tcBorders>
          <w:top w:val="nil"/>
          <w:bottom w:val="nil"/>
          <w:insideH w:val="nil"/>
          <w:insideV w:val="nil"/>
        </w:tcBorders>
        <w:shd w:val="clear" w:color="auto" w:fill="DFE3E9"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tblBorders>
    </w:tblPr>
    <w:tblStylePr w:type="firstRow">
      <w:rPr>
        <w:sz w:val="24"/>
        <w:szCs w:val="24"/>
      </w:rPr>
      <w:tblPr/>
      <w:tcPr>
        <w:tcBorders>
          <w:top w:val="nil"/>
          <w:left w:val="nil"/>
          <w:bottom w:val="single" w:sz="24" w:space="0" w:color="5AA2AE" w:themeColor="accent5"/>
          <w:right w:val="nil"/>
          <w:insideH w:val="nil"/>
          <w:insideV w:val="nil"/>
        </w:tcBorders>
        <w:shd w:val="clear" w:color="auto" w:fill="FFFFFF" w:themeFill="background1"/>
      </w:tcPr>
    </w:tblStylePr>
    <w:tblStylePr w:type="lastRow">
      <w:tblPr/>
      <w:tcPr>
        <w:tcBorders>
          <w:top w:val="single" w:sz="8" w:space="0" w:color="5AA2AE"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AA2AE" w:themeColor="accent5"/>
          <w:insideH w:val="nil"/>
          <w:insideV w:val="nil"/>
        </w:tcBorders>
        <w:shd w:val="clear" w:color="auto" w:fill="FFFFFF" w:themeFill="background1"/>
      </w:tcPr>
    </w:tblStylePr>
    <w:tblStylePr w:type="lastCol">
      <w:tblPr/>
      <w:tcPr>
        <w:tcBorders>
          <w:top w:val="nil"/>
          <w:left w:val="single" w:sz="8" w:space="0" w:color="5AA2AE"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7EB" w:themeFill="accent5" w:themeFillTint="3F"/>
      </w:tcPr>
    </w:tblStylePr>
    <w:tblStylePr w:type="band1Horz">
      <w:tblPr/>
      <w:tcPr>
        <w:tcBorders>
          <w:top w:val="nil"/>
          <w:bottom w:val="nil"/>
          <w:insideH w:val="nil"/>
          <w:insideV w:val="nil"/>
        </w:tcBorders>
        <w:shd w:val="clear" w:color="auto" w:fill="D6E7EB"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tblBorders>
    </w:tblPr>
    <w:tblStylePr w:type="firstRow">
      <w:rPr>
        <w:sz w:val="24"/>
        <w:szCs w:val="24"/>
      </w:rPr>
      <w:tblPr/>
      <w:tcPr>
        <w:tcBorders>
          <w:top w:val="nil"/>
          <w:left w:val="nil"/>
          <w:bottom w:val="single" w:sz="24" w:space="0" w:color="9D90A0" w:themeColor="accent6"/>
          <w:right w:val="nil"/>
          <w:insideH w:val="nil"/>
          <w:insideV w:val="nil"/>
        </w:tcBorders>
        <w:shd w:val="clear" w:color="auto" w:fill="FFFFFF" w:themeFill="background1"/>
      </w:tcPr>
    </w:tblStylePr>
    <w:tblStylePr w:type="lastRow">
      <w:tblPr/>
      <w:tcPr>
        <w:tcBorders>
          <w:top w:val="single" w:sz="8" w:space="0" w:color="9D90A0"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D90A0" w:themeColor="accent6"/>
          <w:insideH w:val="nil"/>
          <w:insideV w:val="nil"/>
        </w:tcBorders>
        <w:shd w:val="clear" w:color="auto" w:fill="FFFFFF" w:themeFill="background1"/>
      </w:tcPr>
    </w:tblStylePr>
    <w:tblStylePr w:type="lastCol">
      <w:tblPr/>
      <w:tcPr>
        <w:tcBorders>
          <w:top w:val="nil"/>
          <w:left w:val="single" w:sz="8" w:space="0" w:color="9D90A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3E7" w:themeFill="accent6" w:themeFillTint="3F"/>
      </w:tcPr>
    </w:tblStylePr>
    <w:tblStylePr w:type="band1Horz">
      <w:tblPr/>
      <w:tcPr>
        <w:tcBorders>
          <w:top w:val="nil"/>
          <w:bottom w:val="nil"/>
          <w:insideH w:val="nil"/>
          <w:insideV w:val="nil"/>
        </w:tcBorders>
        <w:shd w:val="clear" w:color="auto" w:fill="E6E3E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single" w:sz="8" w:space="0" w:color="748AC3" w:themeColor="accent1" w:themeTint="BF"/>
        <w:insideV w:val="single" w:sz="8" w:space="0" w:color="748AC3" w:themeColor="accent1" w:themeTint="BF"/>
      </w:tblBorders>
    </w:tblPr>
    <w:tcPr>
      <w:shd w:val="clear" w:color="auto" w:fill="D1D8EB" w:themeFill="accent1" w:themeFillTint="3F"/>
    </w:tcPr>
    <w:tblStylePr w:type="firstRow">
      <w:rPr>
        <w:b/>
        <w:bCs/>
      </w:rPr>
    </w:tblStylePr>
    <w:tblStylePr w:type="lastRow">
      <w:rPr>
        <w:b/>
        <w:bCs/>
      </w:rPr>
      <w:tblPr/>
      <w:tcPr>
        <w:tcBorders>
          <w:top w:val="single" w:sz="18" w:space="0" w:color="748AC3" w:themeColor="accent1" w:themeTint="BF"/>
        </w:tcBorders>
      </w:tcPr>
    </w:tblStylePr>
    <w:tblStylePr w:type="firstCol">
      <w:rPr>
        <w:b/>
        <w:bCs/>
      </w:rPr>
    </w:tblStylePr>
    <w:tblStylePr w:type="lastCol">
      <w:rPr>
        <w:b/>
        <w:bCs/>
      </w:rPr>
    </w:tblStylePr>
    <w:tblStylePr w:type="band1Vert">
      <w:tblPr/>
      <w:tcPr>
        <w:shd w:val="clear" w:color="auto" w:fill="A2B1D7" w:themeFill="accent1" w:themeFillTint="7F"/>
      </w:tcPr>
    </w:tblStylePr>
    <w:tblStylePr w:type="band1Horz">
      <w:tblPr/>
      <w:tcPr>
        <w:shd w:val="clear" w:color="auto" w:fill="A2B1D7"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single" w:sz="8" w:space="0" w:color="89B5DC" w:themeColor="accent2" w:themeTint="BF"/>
        <w:insideV w:val="single" w:sz="8" w:space="0" w:color="89B5DC" w:themeColor="accent2" w:themeTint="BF"/>
      </w:tblBorders>
    </w:tblPr>
    <w:tcPr>
      <w:shd w:val="clear" w:color="auto" w:fill="D8E6F3" w:themeFill="accent2" w:themeFillTint="3F"/>
    </w:tcPr>
    <w:tblStylePr w:type="firstRow">
      <w:rPr>
        <w:b/>
        <w:bCs/>
      </w:rPr>
    </w:tblStylePr>
    <w:tblStylePr w:type="lastRow">
      <w:rPr>
        <w:b/>
        <w:bCs/>
      </w:rPr>
      <w:tblPr/>
      <w:tcPr>
        <w:tcBorders>
          <w:top w:val="single" w:sz="18" w:space="0" w:color="89B5DC" w:themeColor="accent2" w:themeTint="BF"/>
        </w:tcBorders>
      </w:tcPr>
    </w:tblStylePr>
    <w:tblStylePr w:type="firstCol">
      <w:rPr>
        <w:b/>
        <w:bCs/>
      </w:rPr>
    </w:tblStylePr>
    <w:tblStylePr w:type="lastCol">
      <w:rPr>
        <w:b/>
        <w:bCs/>
      </w:rPr>
    </w:tblStylePr>
    <w:tblStylePr w:type="band1Vert">
      <w:tblPr/>
      <w:tcPr>
        <w:shd w:val="clear" w:color="auto" w:fill="B0CDE8" w:themeFill="accent2" w:themeFillTint="7F"/>
      </w:tcPr>
    </w:tblStylePr>
    <w:tblStylePr w:type="band1Horz">
      <w:tblPr/>
      <w:tcPr>
        <w:shd w:val="clear" w:color="auto" w:fill="B0CDE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single" w:sz="8" w:space="0" w:color="5D9EE0" w:themeColor="accent3" w:themeTint="BF"/>
        <w:insideV w:val="single" w:sz="8" w:space="0" w:color="5D9EE0" w:themeColor="accent3" w:themeTint="BF"/>
      </w:tblBorders>
    </w:tblPr>
    <w:tcPr>
      <w:shd w:val="clear" w:color="auto" w:fill="C9DFF4" w:themeFill="accent3" w:themeFillTint="3F"/>
    </w:tcPr>
    <w:tblStylePr w:type="firstRow">
      <w:rPr>
        <w:b/>
        <w:bCs/>
      </w:rPr>
    </w:tblStylePr>
    <w:tblStylePr w:type="lastRow">
      <w:rPr>
        <w:b/>
        <w:bCs/>
      </w:rPr>
      <w:tblPr/>
      <w:tcPr>
        <w:tcBorders>
          <w:top w:val="single" w:sz="18" w:space="0" w:color="5D9EE0" w:themeColor="accent3" w:themeTint="BF"/>
        </w:tcBorders>
      </w:tcPr>
    </w:tblStylePr>
    <w:tblStylePr w:type="firstCol">
      <w:rPr>
        <w:b/>
        <w:bCs/>
      </w:rPr>
    </w:tblStylePr>
    <w:tblStylePr w:type="lastCol">
      <w:rPr>
        <w:b/>
        <w:bCs/>
      </w:rPr>
    </w:tblStylePr>
    <w:tblStylePr w:type="band1Vert">
      <w:tblPr/>
      <w:tcPr>
        <w:shd w:val="clear" w:color="auto" w:fill="93BEEA" w:themeFill="accent3" w:themeFillTint="7F"/>
      </w:tcPr>
    </w:tblStylePr>
    <w:tblStylePr w:type="band1Horz">
      <w:tblPr/>
      <w:tcPr>
        <w:shd w:val="clear" w:color="auto" w:fill="93BEE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single" w:sz="8" w:space="0" w:color="9FABBE" w:themeColor="accent4" w:themeTint="BF"/>
        <w:insideV w:val="single" w:sz="8" w:space="0" w:color="9FABBE" w:themeColor="accent4" w:themeTint="BF"/>
      </w:tblBorders>
    </w:tblPr>
    <w:tcPr>
      <w:shd w:val="clear" w:color="auto" w:fill="DFE3E9" w:themeFill="accent4" w:themeFillTint="3F"/>
    </w:tcPr>
    <w:tblStylePr w:type="firstRow">
      <w:rPr>
        <w:b/>
        <w:bCs/>
      </w:rPr>
    </w:tblStylePr>
    <w:tblStylePr w:type="lastRow">
      <w:rPr>
        <w:b/>
        <w:bCs/>
      </w:rPr>
      <w:tblPr/>
      <w:tcPr>
        <w:tcBorders>
          <w:top w:val="single" w:sz="18" w:space="0" w:color="9FABBE" w:themeColor="accent4" w:themeTint="BF"/>
        </w:tcBorders>
      </w:tcPr>
    </w:tblStylePr>
    <w:tblStylePr w:type="firstCol">
      <w:rPr>
        <w:b/>
        <w:bCs/>
      </w:rPr>
    </w:tblStylePr>
    <w:tblStylePr w:type="lastCol">
      <w:rPr>
        <w:b/>
        <w:bCs/>
      </w:rPr>
    </w:tblStylePr>
    <w:tblStylePr w:type="band1Vert">
      <w:tblPr/>
      <w:tcPr>
        <w:shd w:val="clear" w:color="auto" w:fill="BFC7D4" w:themeFill="accent4" w:themeFillTint="7F"/>
      </w:tcPr>
    </w:tblStylePr>
    <w:tblStylePr w:type="band1Horz">
      <w:tblPr/>
      <w:tcPr>
        <w:shd w:val="clear" w:color="auto" w:fill="BFC7D4"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single" w:sz="8" w:space="0" w:color="83B9C2" w:themeColor="accent5" w:themeTint="BF"/>
        <w:insideV w:val="single" w:sz="8" w:space="0" w:color="83B9C2" w:themeColor="accent5" w:themeTint="BF"/>
      </w:tblBorders>
    </w:tblPr>
    <w:tcPr>
      <w:shd w:val="clear" w:color="auto" w:fill="D6E7EB" w:themeFill="accent5" w:themeFillTint="3F"/>
    </w:tcPr>
    <w:tblStylePr w:type="firstRow">
      <w:rPr>
        <w:b/>
        <w:bCs/>
      </w:rPr>
    </w:tblStylePr>
    <w:tblStylePr w:type="lastRow">
      <w:rPr>
        <w:b/>
        <w:bCs/>
      </w:rPr>
      <w:tblPr/>
      <w:tcPr>
        <w:tcBorders>
          <w:top w:val="single" w:sz="18" w:space="0" w:color="83B9C2" w:themeColor="accent5" w:themeTint="BF"/>
        </w:tcBorders>
      </w:tcPr>
    </w:tblStylePr>
    <w:tblStylePr w:type="firstCol">
      <w:rPr>
        <w:b/>
        <w:bCs/>
      </w:rPr>
    </w:tblStylePr>
    <w:tblStylePr w:type="lastCol">
      <w:rPr>
        <w:b/>
        <w:bCs/>
      </w:rPr>
    </w:tblStylePr>
    <w:tblStylePr w:type="band1Vert">
      <w:tblPr/>
      <w:tcPr>
        <w:shd w:val="clear" w:color="auto" w:fill="ACD0D6" w:themeFill="accent5" w:themeFillTint="7F"/>
      </w:tcPr>
    </w:tblStylePr>
    <w:tblStylePr w:type="band1Horz">
      <w:tblPr/>
      <w:tcPr>
        <w:shd w:val="clear" w:color="auto" w:fill="ACD0D6"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single" w:sz="8" w:space="0" w:color="B5ABB7" w:themeColor="accent6" w:themeTint="BF"/>
        <w:insideV w:val="single" w:sz="8" w:space="0" w:color="B5ABB7" w:themeColor="accent6" w:themeTint="BF"/>
      </w:tblBorders>
    </w:tblPr>
    <w:tcPr>
      <w:shd w:val="clear" w:color="auto" w:fill="E6E3E7" w:themeFill="accent6" w:themeFillTint="3F"/>
    </w:tcPr>
    <w:tblStylePr w:type="firstRow">
      <w:rPr>
        <w:b/>
        <w:bCs/>
      </w:rPr>
    </w:tblStylePr>
    <w:tblStylePr w:type="lastRow">
      <w:rPr>
        <w:b/>
        <w:bCs/>
      </w:rPr>
      <w:tblPr/>
      <w:tcPr>
        <w:tcBorders>
          <w:top w:val="single" w:sz="18" w:space="0" w:color="B5ABB7" w:themeColor="accent6" w:themeTint="BF"/>
        </w:tcBorders>
      </w:tcPr>
    </w:tblStylePr>
    <w:tblStylePr w:type="firstCol">
      <w:rPr>
        <w:b/>
        <w:bCs/>
      </w:rPr>
    </w:tblStylePr>
    <w:tblStylePr w:type="lastCol">
      <w:rPr>
        <w:b/>
        <w:bCs/>
      </w:rPr>
    </w:tblStylePr>
    <w:tblStylePr w:type="band1Vert">
      <w:tblPr/>
      <w:tcPr>
        <w:shd w:val="clear" w:color="auto" w:fill="CEC7CF" w:themeFill="accent6" w:themeFillTint="7F"/>
      </w:tcPr>
    </w:tblStylePr>
    <w:tblStylePr w:type="band1Horz">
      <w:tblPr/>
      <w:tcPr>
        <w:shd w:val="clear" w:color="auto" w:fill="CEC7CF"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A66AC" w:themeColor="accent1"/>
        <w:left w:val="single" w:sz="8" w:space="0" w:color="4A66AC" w:themeColor="accent1"/>
        <w:bottom w:val="single" w:sz="8" w:space="0" w:color="4A66AC" w:themeColor="accent1"/>
        <w:right w:val="single" w:sz="8" w:space="0" w:color="4A66AC" w:themeColor="accent1"/>
        <w:insideH w:val="single" w:sz="8" w:space="0" w:color="4A66AC" w:themeColor="accent1"/>
        <w:insideV w:val="single" w:sz="8" w:space="0" w:color="4A66AC" w:themeColor="accent1"/>
      </w:tblBorders>
    </w:tblPr>
    <w:tcPr>
      <w:shd w:val="clear" w:color="auto" w:fill="D1D8EB" w:themeFill="accent1" w:themeFillTint="3F"/>
    </w:tcPr>
    <w:tblStylePr w:type="firstRow">
      <w:rPr>
        <w:b/>
        <w:bCs/>
        <w:color w:val="000000" w:themeColor="text1"/>
      </w:rPr>
      <w:tblPr/>
      <w:tcPr>
        <w:shd w:val="clear" w:color="auto" w:fill="ECEFF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DFEF" w:themeFill="accent1" w:themeFillTint="33"/>
      </w:tcPr>
    </w:tblStylePr>
    <w:tblStylePr w:type="band1Vert">
      <w:tblPr/>
      <w:tcPr>
        <w:shd w:val="clear" w:color="auto" w:fill="A2B1D7" w:themeFill="accent1" w:themeFillTint="7F"/>
      </w:tcPr>
    </w:tblStylePr>
    <w:tblStylePr w:type="band1Horz">
      <w:tblPr/>
      <w:tcPr>
        <w:tcBorders>
          <w:insideH w:val="single" w:sz="6" w:space="0" w:color="4A66AC" w:themeColor="accent1"/>
          <w:insideV w:val="single" w:sz="6" w:space="0" w:color="4A66AC" w:themeColor="accent1"/>
        </w:tcBorders>
        <w:shd w:val="clear" w:color="auto" w:fill="A2B1D7"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29DD1" w:themeColor="accent2"/>
        <w:left w:val="single" w:sz="8" w:space="0" w:color="629DD1" w:themeColor="accent2"/>
        <w:bottom w:val="single" w:sz="8" w:space="0" w:color="629DD1" w:themeColor="accent2"/>
        <w:right w:val="single" w:sz="8" w:space="0" w:color="629DD1" w:themeColor="accent2"/>
        <w:insideH w:val="single" w:sz="8" w:space="0" w:color="629DD1" w:themeColor="accent2"/>
        <w:insideV w:val="single" w:sz="8" w:space="0" w:color="629DD1" w:themeColor="accent2"/>
      </w:tblBorders>
    </w:tblPr>
    <w:tcPr>
      <w:shd w:val="clear" w:color="auto" w:fill="D8E6F3" w:themeFill="accent2" w:themeFillTint="3F"/>
    </w:tcPr>
    <w:tblStylePr w:type="firstRow">
      <w:rPr>
        <w:b/>
        <w:bCs/>
        <w:color w:val="000000" w:themeColor="text1"/>
      </w:rPr>
      <w:tblPr/>
      <w:tcPr>
        <w:shd w:val="clear" w:color="auto" w:fill="EFF5F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EBF5" w:themeFill="accent2" w:themeFillTint="33"/>
      </w:tcPr>
    </w:tblStylePr>
    <w:tblStylePr w:type="band1Vert">
      <w:tblPr/>
      <w:tcPr>
        <w:shd w:val="clear" w:color="auto" w:fill="B0CDE8" w:themeFill="accent2" w:themeFillTint="7F"/>
      </w:tcPr>
    </w:tblStylePr>
    <w:tblStylePr w:type="band1Horz">
      <w:tblPr/>
      <w:tcPr>
        <w:tcBorders>
          <w:insideH w:val="single" w:sz="6" w:space="0" w:color="629DD1" w:themeColor="accent2"/>
          <w:insideV w:val="single" w:sz="6" w:space="0" w:color="629DD1" w:themeColor="accent2"/>
        </w:tcBorders>
        <w:shd w:val="clear" w:color="auto" w:fill="B0CDE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97FD5" w:themeColor="accent3"/>
        <w:left w:val="single" w:sz="8" w:space="0" w:color="297FD5" w:themeColor="accent3"/>
        <w:bottom w:val="single" w:sz="8" w:space="0" w:color="297FD5" w:themeColor="accent3"/>
        <w:right w:val="single" w:sz="8" w:space="0" w:color="297FD5" w:themeColor="accent3"/>
        <w:insideH w:val="single" w:sz="8" w:space="0" w:color="297FD5" w:themeColor="accent3"/>
        <w:insideV w:val="single" w:sz="8" w:space="0" w:color="297FD5" w:themeColor="accent3"/>
      </w:tblBorders>
    </w:tblPr>
    <w:tcPr>
      <w:shd w:val="clear" w:color="auto" w:fill="C9DFF4" w:themeFill="accent3" w:themeFillTint="3F"/>
    </w:tcPr>
    <w:tblStylePr w:type="firstRow">
      <w:rPr>
        <w:b/>
        <w:bCs/>
        <w:color w:val="000000" w:themeColor="text1"/>
      </w:rPr>
      <w:tblPr/>
      <w:tcPr>
        <w:shd w:val="clear" w:color="auto" w:fill="E9F2FB"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3E5F6" w:themeFill="accent3" w:themeFillTint="33"/>
      </w:tcPr>
    </w:tblStylePr>
    <w:tblStylePr w:type="band1Vert">
      <w:tblPr/>
      <w:tcPr>
        <w:shd w:val="clear" w:color="auto" w:fill="93BEEA" w:themeFill="accent3" w:themeFillTint="7F"/>
      </w:tcPr>
    </w:tblStylePr>
    <w:tblStylePr w:type="band1Horz">
      <w:tblPr/>
      <w:tcPr>
        <w:tcBorders>
          <w:insideH w:val="single" w:sz="6" w:space="0" w:color="297FD5" w:themeColor="accent3"/>
          <w:insideV w:val="single" w:sz="6" w:space="0" w:color="297FD5" w:themeColor="accent3"/>
        </w:tcBorders>
        <w:shd w:val="clear" w:color="auto" w:fill="93BEE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F8FA9" w:themeColor="accent4"/>
        <w:left w:val="single" w:sz="8" w:space="0" w:color="7F8FA9" w:themeColor="accent4"/>
        <w:bottom w:val="single" w:sz="8" w:space="0" w:color="7F8FA9" w:themeColor="accent4"/>
        <w:right w:val="single" w:sz="8" w:space="0" w:color="7F8FA9" w:themeColor="accent4"/>
        <w:insideH w:val="single" w:sz="8" w:space="0" w:color="7F8FA9" w:themeColor="accent4"/>
        <w:insideV w:val="single" w:sz="8" w:space="0" w:color="7F8FA9" w:themeColor="accent4"/>
      </w:tblBorders>
    </w:tblPr>
    <w:tcPr>
      <w:shd w:val="clear" w:color="auto" w:fill="DFE3E9" w:themeFill="accent4" w:themeFillTint="3F"/>
    </w:tcPr>
    <w:tblStylePr w:type="firstRow">
      <w:rPr>
        <w:b/>
        <w:bCs/>
        <w:color w:val="000000" w:themeColor="text1"/>
      </w:rPr>
      <w:tblPr/>
      <w:tcPr>
        <w:shd w:val="clear" w:color="auto" w:fill="F2F3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8ED" w:themeFill="accent4" w:themeFillTint="33"/>
      </w:tcPr>
    </w:tblStylePr>
    <w:tblStylePr w:type="band1Vert">
      <w:tblPr/>
      <w:tcPr>
        <w:shd w:val="clear" w:color="auto" w:fill="BFC7D4" w:themeFill="accent4" w:themeFillTint="7F"/>
      </w:tcPr>
    </w:tblStylePr>
    <w:tblStylePr w:type="band1Horz">
      <w:tblPr/>
      <w:tcPr>
        <w:tcBorders>
          <w:insideH w:val="single" w:sz="6" w:space="0" w:color="7F8FA9" w:themeColor="accent4"/>
          <w:insideV w:val="single" w:sz="6" w:space="0" w:color="7F8FA9" w:themeColor="accent4"/>
        </w:tcBorders>
        <w:shd w:val="clear" w:color="auto" w:fill="BFC7D4"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insideH w:val="single" w:sz="8" w:space="0" w:color="5AA2AE" w:themeColor="accent5"/>
        <w:insideV w:val="single" w:sz="8" w:space="0" w:color="5AA2AE" w:themeColor="accent5"/>
      </w:tblBorders>
    </w:tblPr>
    <w:tcPr>
      <w:shd w:val="clear" w:color="auto" w:fill="D6E7EB" w:themeFill="accent5" w:themeFillTint="3F"/>
    </w:tcPr>
    <w:tblStylePr w:type="firstRow">
      <w:rPr>
        <w:b/>
        <w:bCs/>
        <w:color w:val="000000" w:themeColor="text1"/>
      </w:rPr>
      <w:tblPr/>
      <w:tcPr>
        <w:shd w:val="clear" w:color="auto" w:fill="EEF5F7"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DECEE" w:themeFill="accent5" w:themeFillTint="33"/>
      </w:tcPr>
    </w:tblStylePr>
    <w:tblStylePr w:type="band1Vert">
      <w:tblPr/>
      <w:tcPr>
        <w:shd w:val="clear" w:color="auto" w:fill="ACD0D6" w:themeFill="accent5" w:themeFillTint="7F"/>
      </w:tcPr>
    </w:tblStylePr>
    <w:tblStylePr w:type="band1Horz">
      <w:tblPr/>
      <w:tcPr>
        <w:tcBorders>
          <w:insideH w:val="single" w:sz="6" w:space="0" w:color="5AA2AE" w:themeColor="accent5"/>
          <w:insideV w:val="single" w:sz="6" w:space="0" w:color="5AA2AE" w:themeColor="accent5"/>
        </w:tcBorders>
        <w:shd w:val="clear" w:color="auto" w:fill="ACD0D6"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insideH w:val="single" w:sz="8" w:space="0" w:color="9D90A0" w:themeColor="accent6"/>
        <w:insideV w:val="single" w:sz="8" w:space="0" w:color="9D90A0" w:themeColor="accent6"/>
      </w:tblBorders>
    </w:tblPr>
    <w:tcPr>
      <w:shd w:val="clear" w:color="auto" w:fill="E6E3E7" w:themeFill="accent6" w:themeFillTint="3F"/>
    </w:tcPr>
    <w:tblStylePr w:type="firstRow">
      <w:rPr>
        <w:b/>
        <w:bCs/>
        <w:color w:val="000000" w:themeColor="text1"/>
      </w:rPr>
      <w:tblPr/>
      <w:tcPr>
        <w:shd w:val="clear" w:color="auto" w:fill="F5F4F5"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E8EC" w:themeFill="accent6" w:themeFillTint="33"/>
      </w:tcPr>
    </w:tblStylePr>
    <w:tblStylePr w:type="band1Vert">
      <w:tblPr/>
      <w:tcPr>
        <w:shd w:val="clear" w:color="auto" w:fill="CEC7CF" w:themeFill="accent6" w:themeFillTint="7F"/>
      </w:tcPr>
    </w:tblStylePr>
    <w:tblStylePr w:type="band1Horz">
      <w:tblPr/>
      <w:tcPr>
        <w:tcBorders>
          <w:insideH w:val="single" w:sz="6" w:space="0" w:color="9D90A0" w:themeColor="accent6"/>
          <w:insideV w:val="single" w:sz="6" w:space="0" w:color="9D90A0" w:themeColor="accent6"/>
        </w:tcBorders>
        <w:shd w:val="clear" w:color="auto" w:fill="CEC7CF"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1D8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A66A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A66A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A66A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A66A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2B1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2B1D7"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8E6F3"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29DD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29DD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29DD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29DD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0CDE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0CDE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9DFF4"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97FD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97FD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97FD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97FD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3BEE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3BEE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E3E9"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F8FA9"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F8FA9"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F8FA9"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F8FA9"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C7D4"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C7D4"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7E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AA2AE"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AA2AE"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AA2AE"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AA2AE"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CD0D6"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CD0D6"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3E7"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D90A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D90A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D90A0"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D90A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EC7C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EC7CF"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A66A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25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74C8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74C80" w:themeFill="accent1" w:themeFillShade="BF"/>
      </w:tcPr>
    </w:tblStylePr>
    <w:tblStylePr w:type="band1Vert">
      <w:tblPr/>
      <w:tcPr>
        <w:tcBorders>
          <w:top w:val="nil"/>
          <w:left w:val="nil"/>
          <w:bottom w:val="nil"/>
          <w:right w:val="nil"/>
          <w:insideH w:val="nil"/>
          <w:insideV w:val="nil"/>
        </w:tcBorders>
        <w:shd w:val="clear" w:color="auto" w:fill="374C80" w:themeFill="accent1" w:themeFillShade="BF"/>
      </w:tcPr>
    </w:tblStylePr>
    <w:tblStylePr w:type="band1Horz">
      <w:tblPr/>
      <w:tcPr>
        <w:tcBorders>
          <w:top w:val="nil"/>
          <w:left w:val="nil"/>
          <w:bottom w:val="nil"/>
          <w:right w:val="nil"/>
          <w:insideH w:val="nil"/>
          <w:insideV w:val="nil"/>
        </w:tcBorders>
        <w:shd w:val="clear" w:color="auto" w:fill="374C80"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629DD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24E76"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3476B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3476B1" w:themeFill="accent2" w:themeFillShade="BF"/>
      </w:tcPr>
    </w:tblStylePr>
    <w:tblStylePr w:type="band1Vert">
      <w:tblPr/>
      <w:tcPr>
        <w:tcBorders>
          <w:top w:val="nil"/>
          <w:left w:val="nil"/>
          <w:bottom w:val="nil"/>
          <w:right w:val="nil"/>
          <w:insideH w:val="nil"/>
          <w:insideV w:val="nil"/>
        </w:tcBorders>
        <w:shd w:val="clear" w:color="auto" w:fill="3476B1" w:themeFill="accent2" w:themeFillShade="BF"/>
      </w:tcPr>
    </w:tblStylePr>
    <w:tblStylePr w:type="band1Horz">
      <w:tblPr/>
      <w:tcPr>
        <w:tcBorders>
          <w:top w:val="nil"/>
          <w:left w:val="nil"/>
          <w:bottom w:val="nil"/>
          <w:right w:val="nil"/>
          <w:insideH w:val="nil"/>
          <w:insideV w:val="nil"/>
        </w:tcBorders>
        <w:shd w:val="clear" w:color="auto" w:fill="3476B1"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297FD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43E69"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E5E9F"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E5E9F" w:themeFill="accent3" w:themeFillShade="BF"/>
      </w:tcPr>
    </w:tblStylePr>
    <w:tblStylePr w:type="band1Vert">
      <w:tblPr/>
      <w:tcPr>
        <w:tcBorders>
          <w:top w:val="nil"/>
          <w:left w:val="nil"/>
          <w:bottom w:val="nil"/>
          <w:right w:val="nil"/>
          <w:insideH w:val="nil"/>
          <w:insideV w:val="nil"/>
        </w:tcBorders>
        <w:shd w:val="clear" w:color="auto" w:fill="1E5E9F" w:themeFill="accent3" w:themeFillShade="BF"/>
      </w:tcPr>
    </w:tblStylePr>
    <w:tblStylePr w:type="band1Horz">
      <w:tblPr/>
      <w:tcPr>
        <w:tcBorders>
          <w:top w:val="nil"/>
          <w:left w:val="nil"/>
          <w:bottom w:val="nil"/>
          <w:right w:val="nil"/>
          <w:insideH w:val="nil"/>
          <w:insideV w:val="nil"/>
        </w:tcBorders>
        <w:shd w:val="clear" w:color="auto" w:fill="1E5E9F"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7F8FA9"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B4658"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96984"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96984" w:themeFill="accent4" w:themeFillShade="BF"/>
      </w:tcPr>
    </w:tblStylePr>
    <w:tblStylePr w:type="band1Vert">
      <w:tblPr/>
      <w:tcPr>
        <w:tcBorders>
          <w:top w:val="nil"/>
          <w:left w:val="nil"/>
          <w:bottom w:val="nil"/>
          <w:right w:val="nil"/>
          <w:insideH w:val="nil"/>
          <w:insideV w:val="nil"/>
        </w:tcBorders>
        <w:shd w:val="clear" w:color="auto" w:fill="596984" w:themeFill="accent4" w:themeFillShade="BF"/>
      </w:tcPr>
    </w:tblStylePr>
    <w:tblStylePr w:type="band1Horz">
      <w:tblPr/>
      <w:tcPr>
        <w:tcBorders>
          <w:top w:val="nil"/>
          <w:left w:val="nil"/>
          <w:bottom w:val="nil"/>
          <w:right w:val="nil"/>
          <w:insideH w:val="nil"/>
          <w:insideV w:val="nil"/>
        </w:tcBorders>
        <w:shd w:val="clear" w:color="auto" w:fill="596984"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AA2AE"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B515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17A84"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17A84" w:themeFill="accent5" w:themeFillShade="BF"/>
      </w:tcPr>
    </w:tblStylePr>
    <w:tblStylePr w:type="band1Vert">
      <w:tblPr/>
      <w:tcPr>
        <w:tcBorders>
          <w:top w:val="nil"/>
          <w:left w:val="nil"/>
          <w:bottom w:val="nil"/>
          <w:right w:val="nil"/>
          <w:insideH w:val="nil"/>
          <w:insideV w:val="nil"/>
        </w:tcBorders>
        <w:shd w:val="clear" w:color="auto" w:fill="417A84" w:themeFill="accent5" w:themeFillShade="BF"/>
      </w:tcPr>
    </w:tblStylePr>
    <w:tblStylePr w:type="band1Horz">
      <w:tblPr/>
      <w:tcPr>
        <w:tcBorders>
          <w:top w:val="nil"/>
          <w:left w:val="nil"/>
          <w:bottom w:val="nil"/>
          <w:right w:val="nil"/>
          <w:insideH w:val="nil"/>
          <w:insideV w:val="nil"/>
        </w:tcBorders>
        <w:shd w:val="clear" w:color="auto" w:fill="417A84"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9D90A0"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4551"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7697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7697A" w:themeFill="accent6" w:themeFillShade="BF"/>
      </w:tcPr>
    </w:tblStylePr>
    <w:tblStylePr w:type="band1Vert">
      <w:tblPr/>
      <w:tcPr>
        <w:tcBorders>
          <w:top w:val="nil"/>
          <w:left w:val="nil"/>
          <w:bottom w:val="nil"/>
          <w:right w:val="nil"/>
          <w:insideH w:val="nil"/>
          <w:insideV w:val="nil"/>
        </w:tcBorders>
        <w:shd w:val="clear" w:color="auto" w:fill="77697A" w:themeFill="accent6" w:themeFillShade="BF"/>
      </w:tcPr>
    </w:tblStylePr>
    <w:tblStylePr w:type="band1Horz">
      <w:tblPr/>
      <w:tcPr>
        <w:tcBorders>
          <w:top w:val="nil"/>
          <w:left w:val="nil"/>
          <w:bottom w:val="nil"/>
          <w:right w:val="nil"/>
          <w:insideH w:val="nil"/>
          <w:insideV w:val="nil"/>
        </w:tcBorders>
        <w:shd w:val="clear" w:color="auto" w:fill="77697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629DD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629DD1" w:themeColor="accent2"/>
        <w:left w:val="single" w:sz="4" w:space="0" w:color="4A66AC" w:themeColor="accent1"/>
        <w:bottom w:val="single" w:sz="4" w:space="0" w:color="4A66AC" w:themeColor="accent1"/>
        <w:right w:val="single" w:sz="4" w:space="0" w:color="4A66AC" w:themeColor="accent1"/>
        <w:insideH w:val="single" w:sz="4" w:space="0" w:color="FFFFFF" w:themeColor="background1"/>
        <w:insideV w:val="single" w:sz="4" w:space="0" w:color="FFFFFF" w:themeColor="background1"/>
      </w:tblBorders>
    </w:tblPr>
    <w:tcPr>
      <w:shd w:val="clear" w:color="auto" w:fill="ECEFF7" w:themeFill="accent1" w:themeFillTint="19"/>
    </w:tcPr>
    <w:tblStylePr w:type="firstRow">
      <w:rPr>
        <w:b/>
        <w:bCs/>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3C66" w:themeFill="accent1" w:themeFillShade="99"/>
      </w:tcPr>
    </w:tblStylePr>
    <w:tblStylePr w:type="firstCol">
      <w:rPr>
        <w:color w:val="FFFFFF" w:themeColor="background1"/>
      </w:rPr>
      <w:tblPr/>
      <w:tcPr>
        <w:tcBorders>
          <w:top w:val="nil"/>
          <w:left w:val="nil"/>
          <w:bottom w:val="nil"/>
          <w:right w:val="nil"/>
          <w:insideH w:val="single" w:sz="4" w:space="0" w:color="2C3C66" w:themeColor="accent1" w:themeShade="99"/>
          <w:insideV w:val="nil"/>
        </w:tcBorders>
        <w:shd w:val="clear" w:color="auto" w:fill="2C3C66"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3C66" w:themeFill="accent1" w:themeFillShade="99"/>
      </w:tcPr>
    </w:tblStylePr>
    <w:tblStylePr w:type="band1Vert">
      <w:tblPr/>
      <w:tcPr>
        <w:shd w:val="clear" w:color="auto" w:fill="B5C0DF" w:themeFill="accent1" w:themeFillTint="66"/>
      </w:tcPr>
    </w:tblStylePr>
    <w:tblStylePr w:type="band1Horz">
      <w:tblPr/>
      <w:tcPr>
        <w:shd w:val="clear" w:color="auto" w:fill="A2B1D7"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629DD1" w:themeColor="accent2"/>
        <w:left w:val="single" w:sz="4" w:space="0" w:color="629DD1" w:themeColor="accent2"/>
        <w:bottom w:val="single" w:sz="4" w:space="0" w:color="629DD1" w:themeColor="accent2"/>
        <w:right w:val="single" w:sz="4" w:space="0" w:color="629DD1" w:themeColor="accent2"/>
        <w:insideH w:val="single" w:sz="4" w:space="0" w:color="FFFFFF" w:themeColor="background1"/>
        <w:insideV w:val="single" w:sz="4" w:space="0" w:color="FFFFFF" w:themeColor="background1"/>
      </w:tblBorders>
    </w:tblPr>
    <w:tcPr>
      <w:shd w:val="clear" w:color="auto" w:fill="EFF5FA" w:themeFill="accent2" w:themeFillTint="19"/>
    </w:tcPr>
    <w:tblStylePr w:type="firstRow">
      <w:rPr>
        <w:b/>
        <w:bCs/>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95E8E" w:themeFill="accent2" w:themeFillShade="99"/>
      </w:tcPr>
    </w:tblStylePr>
    <w:tblStylePr w:type="firstCol">
      <w:rPr>
        <w:color w:val="FFFFFF" w:themeColor="background1"/>
      </w:rPr>
      <w:tblPr/>
      <w:tcPr>
        <w:tcBorders>
          <w:top w:val="nil"/>
          <w:left w:val="nil"/>
          <w:bottom w:val="nil"/>
          <w:right w:val="nil"/>
          <w:insideH w:val="single" w:sz="4" w:space="0" w:color="295E8E" w:themeColor="accent2" w:themeShade="99"/>
          <w:insideV w:val="nil"/>
        </w:tcBorders>
        <w:shd w:val="clear" w:color="auto" w:fill="295E8E"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95E8E" w:themeFill="accent2" w:themeFillShade="99"/>
      </w:tcPr>
    </w:tblStylePr>
    <w:tblStylePr w:type="band1Vert">
      <w:tblPr/>
      <w:tcPr>
        <w:shd w:val="clear" w:color="auto" w:fill="C0D7EC" w:themeFill="accent2" w:themeFillTint="66"/>
      </w:tcPr>
    </w:tblStylePr>
    <w:tblStylePr w:type="band1Horz">
      <w:tblPr/>
      <w:tcPr>
        <w:shd w:val="clear" w:color="auto" w:fill="B0CDE8"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7F8FA9" w:themeColor="accent4"/>
        <w:left w:val="single" w:sz="4" w:space="0" w:color="297FD5" w:themeColor="accent3"/>
        <w:bottom w:val="single" w:sz="4" w:space="0" w:color="297FD5" w:themeColor="accent3"/>
        <w:right w:val="single" w:sz="4" w:space="0" w:color="297FD5" w:themeColor="accent3"/>
        <w:insideH w:val="single" w:sz="4" w:space="0" w:color="FFFFFF" w:themeColor="background1"/>
        <w:insideV w:val="single" w:sz="4" w:space="0" w:color="FFFFFF" w:themeColor="background1"/>
      </w:tblBorders>
    </w:tblPr>
    <w:tcPr>
      <w:shd w:val="clear" w:color="auto" w:fill="E9F2FB" w:themeFill="accent3" w:themeFillTint="19"/>
    </w:tcPr>
    <w:tblStylePr w:type="firstRow">
      <w:rPr>
        <w:b/>
        <w:bCs/>
      </w:rPr>
      <w:tblPr/>
      <w:tcPr>
        <w:tcBorders>
          <w:top w:val="nil"/>
          <w:left w:val="nil"/>
          <w:bottom w:val="single" w:sz="24" w:space="0" w:color="7F8FA9"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84B7F" w:themeFill="accent3" w:themeFillShade="99"/>
      </w:tcPr>
    </w:tblStylePr>
    <w:tblStylePr w:type="firstCol">
      <w:rPr>
        <w:color w:val="FFFFFF" w:themeColor="background1"/>
      </w:rPr>
      <w:tblPr/>
      <w:tcPr>
        <w:tcBorders>
          <w:top w:val="nil"/>
          <w:left w:val="nil"/>
          <w:bottom w:val="nil"/>
          <w:right w:val="nil"/>
          <w:insideH w:val="single" w:sz="4" w:space="0" w:color="184B7F" w:themeColor="accent3" w:themeShade="99"/>
          <w:insideV w:val="nil"/>
        </w:tcBorders>
        <w:shd w:val="clear" w:color="auto" w:fill="184B7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84B7F" w:themeFill="accent3" w:themeFillShade="99"/>
      </w:tcPr>
    </w:tblStylePr>
    <w:tblStylePr w:type="band1Vert">
      <w:tblPr/>
      <w:tcPr>
        <w:shd w:val="clear" w:color="auto" w:fill="A8CBEE" w:themeFill="accent3" w:themeFillTint="66"/>
      </w:tcPr>
    </w:tblStylePr>
    <w:tblStylePr w:type="band1Horz">
      <w:tblPr/>
      <w:tcPr>
        <w:shd w:val="clear" w:color="auto" w:fill="93BEEA"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297FD5" w:themeColor="accent3"/>
        <w:left w:val="single" w:sz="4" w:space="0" w:color="7F8FA9" w:themeColor="accent4"/>
        <w:bottom w:val="single" w:sz="4" w:space="0" w:color="7F8FA9" w:themeColor="accent4"/>
        <w:right w:val="single" w:sz="4" w:space="0" w:color="7F8FA9" w:themeColor="accent4"/>
        <w:insideH w:val="single" w:sz="4" w:space="0" w:color="FFFFFF" w:themeColor="background1"/>
        <w:insideV w:val="single" w:sz="4" w:space="0" w:color="FFFFFF" w:themeColor="background1"/>
      </w:tblBorders>
    </w:tblPr>
    <w:tcPr>
      <w:shd w:val="clear" w:color="auto" w:fill="F2F3F6" w:themeFill="accent4" w:themeFillTint="19"/>
    </w:tcPr>
    <w:tblStylePr w:type="firstRow">
      <w:rPr>
        <w:b/>
        <w:bCs/>
      </w:rPr>
      <w:tblPr/>
      <w:tcPr>
        <w:tcBorders>
          <w:top w:val="nil"/>
          <w:left w:val="nil"/>
          <w:bottom w:val="single" w:sz="24" w:space="0" w:color="297FD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7546A" w:themeFill="accent4" w:themeFillShade="99"/>
      </w:tcPr>
    </w:tblStylePr>
    <w:tblStylePr w:type="firstCol">
      <w:rPr>
        <w:color w:val="FFFFFF" w:themeColor="background1"/>
      </w:rPr>
      <w:tblPr/>
      <w:tcPr>
        <w:tcBorders>
          <w:top w:val="nil"/>
          <w:left w:val="nil"/>
          <w:bottom w:val="nil"/>
          <w:right w:val="nil"/>
          <w:insideH w:val="single" w:sz="4" w:space="0" w:color="47546A" w:themeColor="accent4" w:themeShade="99"/>
          <w:insideV w:val="nil"/>
        </w:tcBorders>
        <w:shd w:val="clear" w:color="auto" w:fill="47546A"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7546A" w:themeFill="accent4" w:themeFillShade="99"/>
      </w:tcPr>
    </w:tblStylePr>
    <w:tblStylePr w:type="band1Vert">
      <w:tblPr/>
      <w:tcPr>
        <w:shd w:val="clear" w:color="auto" w:fill="CBD2DC" w:themeFill="accent4" w:themeFillTint="66"/>
      </w:tcPr>
    </w:tblStylePr>
    <w:tblStylePr w:type="band1Horz">
      <w:tblPr/>
      <w:tcPr>
        <w:shd w:val="clear" w:color="auto" w:fill="BFC7D4"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9D90A0" w:themeColor="accent6"/>
        <w:left w:val="single" w:sz="4" w:space="0" w:color="5AA2AE" w:themeColor="accent5"/>
        <w:bottom w:val="single" w:sz="4" w:space="0" w:color="5AA2AE" w:themeColor="accent5"/>
        <w:right w:val="single" w:sz="4" w:space="0" w:color="5AA2AE" w:themeColor="accent5"/>
        <w:insideH w:val="single" w:sz="4" w:space="0" w:color="FFFFFF" w:themeColor="background1"/>
        <w:insideV w:val="single" w:sz="4" w:space="0" w:color="FFFFFF" w:themeColor="background1"/>
      </w:tblBorders>
    </w:tblPr>
    <w:tcPr>
      <w:shd w:val="clear" w:color="auto" w:fill="EEF5F7" w:themeFill="accent5" w:themeFillTint="19"/>
    </w:tcPr>
    <w:tblStylePr w:type="firstRow">
      <w:rPr>
        <w:b/>
        <w:bCs/>
      </w:rPr>
      <w:tblPr/>
      <w:tcPr>
        <w:tcBorders>
          <w:top w:val="nil"/>
          <w:left w:val="nil"/>
          <w:bottom w:val="single" w:sz="24" w:space="0" w:color="9D90A0"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4626A" w:themeFill="accent5" w:themeFillShade="99"/>
      </w:tcPr>
    </w:tblStylePr>
    <w:tblStylePr w:type="firstCol">
      <w:rPr>
        <w:color w:val="FFFFFF" w:themeColor="background1"/>
      </w:rPr>
      <w:tblPr/>
      <w:tcPr>
        <w:tcBorders>
          <w:top w:val="nil"/>
          <w:left w:val="nil"/>
          <w:bottom w:val="nil"/>
          <w:right w:val="nil"/>
          <w:insideH w:val="single" w:sz="4" w:space="0" w:color="34626A" w:themeColor="accent5" w:themeShade="99"/>
          <w:insideV w:val="nil"/>
        </w:tcBorders>
        <w:shd w:val="clear" w:color="auto" w:fill="34626A"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4626A" w:themeFill="accent5" w:themeFillShade="99"/>
      </w:tcPr>
    </w:tblStylePr>
    <w:tblStylePr w:type="band1Vert">
      <w:tblPr/>
      <w:tcPr>
        <w:shd w:val="clear" w:color="auto" w:fill="BCD9DE" w:themeFill="accent5" w:themeFillTint="66"/>
      </w:tcPr>
    </w:tblStylePr>
    <w:tblStylePr w:type="band1Horz">
      <w:tblPr/>
      <w:tcPr>
        <w:shd w:val="clear" w:color="auto" w:fill="ACD0D6"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AA2AE" w:themeColor="accent5"/>
        <w:left w:val="single" w:sz="4" w:space="0" w:color="9D90A0" w:themeColor="accent6"/>
        <w:bottom w:val="single" w:sz="4" w:space="0" w:color="9D90A0" w:themeColor="accent6"/>
        <w:right w:val="single" w:sz="4" w:space="0" w:color="9D90A0" w:themeColor="accent6"/>
        <w:insideH w:val="single" w:sz="4" w:space="0" w:color="FFFFFF" w:themeColor="background1"/>
        <w:insideV w:val="single" w:sz="4" w:space="0" w:color="FFFFFF" w:themeColor="background1"/>
      </w:tblBorders>
    </w:tblPr>
    <w:tcPr>
      <w:shd w:val="clear" w:color="auto" w:fill="F5F4F5" w:themeFill="accent6" w:themeFillTint="19"/>
    </w:tcPr>
    <w:tblStylePr w:type="firstRow">
      <w:rPr>
        <w:b/>
        <w:bCs/>
      </w:rPr>
      <w:tblPr/>
      <w:tcPr>
        <w:tcBorders>
          <w:top w:val="nil"/>
          <w:left w:val="nil"/>
          <w:bottom w:val="single" w:sz="24" w:space="0" w:color="5AA2AE"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5462" w:themeFill="accent6" w:themeFillShade="99"/>
      </w:tcPr>
    </w:tblStylePr>
    <w:tblStylePr w:type="firstCol">
      <w:rPr>
        <w:color w:val="FFFFFF" w:themeColor="background1"/>
      </w:rPr>
      <w:tblPr/>
      <w:tcPr>
        <w:tcBorders>
          <w:top w:val="nil"/>
          <w:left w:val="nil"/>
          <w:bottom w:val="nil"/>
          <w:right w:val="nil"/>
          <w:insideH w:val="single" w:sz="4" w:space="0" w:color="5F5462" w:themeColor="accent6" w:themeShade="99"/>
          <w:insideV w:val="nil"/>
        </w:tcBorders>
        <w:shd w:val="clear" w:color="auto" w:fill="5F5462"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F5462" w:themeFill="accent6" w:themeFillShade="99"/>
      </w:tcPr>
    </w:tblStylePr>
    <w:tblStylePr w:type="band1Vert">
      <w:tblPr/>
      <w:tcPr>
        <w:shd w:val="clear" w:color="auto" w:fill="D7D2D9" w:themeFill="accent6" w:themeFillTint="66"/>
      </w:tcPr>
    </w:tblStylePr>
    <w:tblStylePr w:type="band1Horz">
      <w:tblPr/>
      <w:tcPr>
        <w:shd w:val="clear" w:color="auto" w:fill="CEC7CF"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377EBD" w:themeFill="accent2" w:themeFillShade="CC"/>
      </w:tcPr>
    </w:tblStylePr>
    <w:tblStylePr w:type="lastRow">
      <w:rPr>
        <w:b/>
        <w:bCs/>
        <w:color w:val="377EB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CEFF7" w:themeFill="accent1" w:themeFillTint="19"/>
    </w:tcPr>
    <w:tblStylePr w:type="firstRow">
      <w:rPr>
        <w:b/>
        <w:bCs/>
        <w:color w:val="FFFFFF" w:themeColor="background1"/>
      </w:rPr>
      <w:tblPr/>
      <w:tcPr>
        <w:tcBorders>
          <w:bottom w:val="single" w:sz="12" w:space="0" w:color="FFFFFF" w:themeColor="background1"/>
        </w:tcBorders>
        <w:shd w:val="clear" w:color="auto" w:fill="377EBD" w:themeFill="accent2" w:themeFillShade="CC"/>
      </w:tcPr>
    </w:tblStylePr>
    <w:tblStylePr w:type="lastRow">
      <w:rPr>
        <w:b/>
        <w:bCs/>
        <w:color w:val="377EB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8EB" w:themeFill="accent1" w:themeFillTint="3F"/>
      </w:tcPr>
    </w:tblStylePr>
    <w:tblStylePr w:type="band1Horz">
      <w:tblPr/>
      <w:tcPr>
        <w:shd w:val="clear" w:color="auto" w:fill="D9DFEF"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EFF5FA" w:themeFill="accent2" w:themeFillTint="19"/>
    </w:tcPr>
    <w:tblStylePr w:type="firstRow">
      <w:rPr>
        <w:b/>
        <w:bCs/>
        <w:color w:val="FFFFFF" w:themeColor="background1"/>
      </w:rPr>
      <w:tblPr/>
      <w:tcPr>
        <w:tcBorders>
          <w:bottom w:val="single" w:sz="12" w:space="0" w:color="FFFFFF" w:themeColor="background1"/>
        </w:tcBorders>
        <w:shd w:val="clear" w:color="auto" w:fill="377EBD" w:themeFill="accent2" w:themeFillShade="CC"/>
      </w:tcPr>
    </w:tblStylePr>
    <w:tblStylePr w:type="lastRow">
      <w:rPr>
        <w:b/>
        <w:bCs/>
        <w:color w:val="377EB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E6F3" w:themeFill="accent2" w:themeFillTint="3F"/>
      </w:tcPr>
    </w:tblStylePr>
    <w:tblStylePr w:type="band1Horz">
      <w:tblPr/>
      <w:tcPr>
        <w:shd w:val="clear" w:color="auto" w:fill="DFEBF5"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E9F2FB" w:themeFill="accent3" w:themeFillTint="19"/>
    </w:tcPr>
    <w:tblStylePr w:type="firstRow">
      <w:rPr>
        <w:b/>
        <w:bCs/>
        <w:color w:val="FFFFFF" w:themeColor="background1"/>
      </w:rPr>
      <w:tblPr/>
      <w:tcPr>
        <w:tcBorders>
          <w:bottom w:val="single" w:sz="12" w:space="0" w:color="FFFFFF" w:themeColor="background1"/>
        </w:tcBorders>
        <w:shd w:val="clear" w:color="auto" w:fill="5F708D" w:themeFill="accent4" w:themeFillShade="CC"/>
      </w:tcPr>
    </w:tblStylePr>
    <w:tblStylePr w:type="lastRow">
      <w:rPr>
        <w:b/>
        <w:bCs/>
        <w:color w:val="5F708D"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DFF4" w:themeFill="accent3" w:themeFillTint="3F"/>
      </w:tcPr>
    </w:tblStylePr>
    <w:tblStylePr w:type="band1Horz">
      <w:tblPr/>
      <w:tcPr>
        <w:shd w:val="clear" w:color="auto" w:fill="D3E5F6"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F3F6" w:themeFill="accent4" w:themeFillTint="19"/>
    </w:tcPr>
    <w:tblStylePr w:type="firstRow">
      <w:rPr>
        <w:b/>
        <w:bCs/>
        <w:color w:val="FFFFFF" w:themeColor="background1"/>
      </w:rPr>
      <w:tblPr/>
      <w:tcPr>
        <w:tcBorders>
          <w:bottom w:val="single" w:sz="12" w:space="0" w:color="FFFFFF" w:themeColor="background1"/>
        </w:tcBorders>
        <w:shd w:val="clear" w:color="auto" w:fill="2065AA" w:themeFill="accent3" w:themeFillShade="CC"/>
      </w:tcPr>
    </w:tblStylePr>
    <w:tblStylePr w:type="lastRow">
      <w:rPr>
        <w:b/>
        <w:bCs/>
        <w:color w:val="2065A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E3E9" w:themeFill="accent4" w:themeFillTint="3F"/>
      </w:tcPr>
    </w:tblStylePr>
    <w:tblStylePr w:type="band1Horz">
      <w:tblPr/>
      <w:tcPr>
        <w:shd w:val="clear" w:color="auto" w:fill="E5E8ED"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EF5F7" w:themeFill="accent5" w:themeFillTint="19"/>
    </w:tcPr>
    <w:tblStylePr w:type="firstRow">
      <w:rPr>
        <w:b/>
        <w:bCs/>
        <w:color w:val="FFFFFF" w:themeColor="background1"/>
      </w:rPr>
      <w:tblPr/>
      <w:tcPr>
        <w:tcBorders>
          <w:bottom w:val="single" w:sz="12" w:space="0" w:color="FFFFFF" w:themeColor="background1"/>
        </w:tcBorders>
        <w:shd w:val="clear" w:color="auto" w:fill="7F7082" w:themeFill="accent6" w:themeFillShade="CC"/>
      </w:tcPr>
    </w:tblStylePr>
    <w:tblStylePr w:type="lastRow">
      <w:rPr>
        <w:b/>
        <w:bCs/>
        <w:color w:val="7F7082"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7EB" w:themeFill="accent5" w:themeFillTint="3F"/>
      </w:tcPr>
    </w:tblStylePr>
    <w:tblStylePr w:type="band1Horz">
      <w:tblPr/>
      <w:tcPr>
        <w:shd w:val="clear" w:color="auto" w:fill="DDECEE"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5F4F5" w:themeFill="accent6" w:themeFillTint="19"/>
    </w:tcPr>
    <w:tblStylePr w:type="firstRow">
      <w:rPr>
        <w:b/>
        <w:bCs/>
        <w:color w:val="FFFFFF" w:themeColor="background1"/>
      </w:rPr>
      <w:tblPr/>
      <w:tcPr>
        <w:tcBorders>
          <w:bottom w:val="single" w:sz="12" w:space="0" w:color="FFFFFF" w:themeColor="background1"/>
        </w:tcBorders>
        <w:shd w:val="clear" w:color="auto" w:fill="45828D" w:themeFill="accent5" w:themeFillShade="CC"/>
      </w:tcPr>
    </w:tblStylePr>
    <w:tblStylePr w:type="lastRow">
      <w:rPr>
        <w:b/>
        <w:bCs/>
        <w:color w:val="45828D"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3E7" w:themeFill="accent6" w:themeFillTint="3F"/>
      </w:tcPr>
    </w:tblStylePr>
    <w:tblStylePr w:type="band1Horz">
      <w:tblPr/>
      <w:tcPr>
        <w:shd w:val="clear" w:color="auto" w:fill="EBE8EC"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DFEF" w:themeFill="accent1" w:themeFillTint="33"/>
    </w:tcPr>
    <w:tblStylePr w:type="firstRow">
      <w:rPr>
        <w:b/>
        <w:bCs/>
      </w:rPr>
      <w:tblPr/>
      <w:tcPr>
        <w:shd w:val="clear" w:color="auto" w:fill="B5C0DF" w:themeFill="accent1" w:themeFillTint="66"/>
      </w:tcPr>
    </w:tblStylePr>
    <w:tblStylePr w:type="lastRow">
      <w:rPr>
        <w:b/>
        <w:bCs/>
        <w:color w:val="000000" w:themeColor="text1"/>
      </w:rPr>
      <w:tblPr/>
      <w:tcPr>
        <w:shd w:val="clear" w:color="auto" w:fill="B5C0DF" w:themeFill="accent1" w:themeFillTint="66"/>
      </w:tcPr>
    </w:tblStylePr>
    <w:tblStylePr w:type="firstCol">
      <w:rPr>
        <w:color w:val="FFFFFF" w:themeColor="background1"/>
      </w:rPr>
      <w:tblPr/>
      <w:tcPr>
        <w:shd w:val="clear" w:color="auto" w:fill="374C80" w:themeFill="accent1" w:themeFillShade="BF"/>
      </w:tcPr>
    </w:tblStylePr>
    <w:tblStylePr w:type="lastCol">
      <w:rPr>
        <w:color w:val="FFFFFF" w:themeColor="background1"/>
      </w:rPr>
      <w:tblPr/>
      <w:tcPr>
        <w:shd w:val="clear" w:color="auto" w:fill="374C80" w:themeFill="accent1" w:themeFillShade="BF"/>
      </w:tcPr>
    </w:tblStylePr>
    <w:tblStylePr w:type="band1Vert">
      <w:tblPr/>
      <w:tcPr>
        <w:shd w:val="clear" w:color="auto" w:fill="A2B1D7" w:themeFill="accent1" w:themeFillTint="7F"/>
      </w:tcPr>
    </w:tblStylePr>
    <w:tblStylePr w:type="band1Horz">
      <w:tblPr/>
      <w:tcPr>
        <w:shd w:val="clear" w:color="auto" w:fill="A2B1D7"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EBF5" w:themeFill="accent2" w:themeFillTint="33"/>
    </w:tcPr>
    <w:tblStylePr w:type="firstRow">
      <w:rPr>
        <w:b/>
        <w:bCs/>
      </w:rPr>
      <w:tblPr/>
      <w:tcPr>
        <w:shd w:val="clear" w:color="auto" w:fill="C0D7EC" w:themeFill="accent2" w:themeFillTint="66"/>
      </w:tcPr>
    </w:tblStylePr>
    <w:tblStylePr w:type="lastRow">
      <w:rPr>
        <w:b/>
        <w:bCs/>
        <w:color w:val="000000" w:themeColor="text1"/>
      </w:rPr>
      <w:tblPr/>
      <w:tcPr>
        <w:shd w:val="clear" w:color="auto" w:fill="C0D7EC" w:themeFill="accent2" w:themeFillTint="66"/>
      </w:tcPr>
    </w:tblStylePr>
    <w:tblStylePr w:type="firstCol">
      <w:rPr>
        <w:color w:val="FFFFFF" w:themeColor="background1"/>
      </w:rPr>
      <w:tblPr/>
      <w:tcPr>
        <w:shd w:val="clear" w:color="auto" w:fill="3476B1" w:themeFill="accent2" w:themeFillShade="BF"/>
      </w:tcPr>
    </w:tblStylePr>
    <w:tblStylePr w:type="lastCol">
      <w:rPr>
        <w:color w:val="FFFFFF" w:themeColor="background1"/>
      </w:rPr>
      <w:tblPr/>
      <w:tcPr>
        <w:shd w:val="clear" w:color="auto" w:fill="3476B1" w:themeFill="accent2" w:themeFillShade="BF"/>
      </w:tcPr>
    </w:tblStylePr>
    <w:tblStylePr w:type="band1Vert">
      <w:tblPr/>
      <w:tcPr>
        <w:shd w:val="clear" w:color="auto" w:fill="B0CDE8" w:themeFill="accent2" w:themeFillTint="7F"/>
      </w:tcPr>
    </w:tblStylePr>
    <w:tblStylePr w:type="band1Horz">
      <w:tblPr/>
      <w:tcPr>
        <w:shd w:val="clear" w:color="auto" w:fill="B0CDE8"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3E5F6" w:themeFill="accent3" w:themeFillTint="33"/>
    </w:tcPr>
    <w:tblStylePr w:type="firstRow">
      <w:rPr>
        <w:b/>
        <w:bCs/>
      </w:rPr>
      <w:tblPr/>
      <w:tcPr>
        <w:shd w:val="clear" w:color="auto" w:fill="A8CBEE" w:themeFill="accent3" w:themeFillTint="66"/>
      </w:tcPr>
    </w:tblStylePr>
    <w:tblStylePr w:type="lastRow">
      <w:rPr>
        <w:b/>
        <w:bCs/>
        <w:color w:val="000000" w:themeColor="text1"/>
      </w:rPr>
      <w:tblPr/>
      <w:tcPr>
        <w:shd w:val="clear" w:color="auto" w:fill="A8CBEE" w:themeFill="accent3" w:themeFillTint="66"/>
      </w:tcPr>
    </w:tblStylePr>
    <w:tblStylePr w:type="firstCol">
      <w:rPr>
        <w:color w:val="FFFFFF" w:themeColor="background1"/>
      </w:rPr>
      <w:tblPr/>
      <w:tcPr>
        <w:shd w:val="clear" w:color="auto" w:fill="1E5E9F" w:themeFill="accent3" w:themeFillShade="BF"/>
      </w:tcPr>
    </w:tblStylePr>
    <w:tblStylePr w:type="lastCol">
      <w:rPr>
        <w:color w:val="FFFFFF" w:themeColor="background1"/>
      </w:rPr>
      <w:tblPr/>
      <w:tcPr>
        <w:shd w:val="clear" w:color="auto" w:fill="1E5E9F" w:themeFill="accent3" w:themeFillShade="BF"/>
      </w:tcPr>
    </w:tblStylePr>
    <w:tblStylePr w:type="band1Vert">
      <w:tblPr/>
      <w:tcPr>
        <w:shd w:val="clear" w:color="auto" w:fill="93BEEA" w:themeFill="accent3" w:themeFillTint="7F"/>
      </w:tcPr>
    </w:tblStylePr>
    <w:tblStylePr w:type="band1Horz">
      <w:tblPr/>
      <w:tcPr>
        <w:shd w:val="clear" w:color="auto" w:fill="93BEEA"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8ED" w:themeFill="accent4" w:themeFillTint="33"/>
    </w:tcPr>
    <w:tblStylePr w:type="firstRow">
      <w:rPr>
        <w:b/>
        <w:bCs/>
      </w:rPr>
      <w:tblPr/>
      <w:tcPr>
        <w:shd w:val="clear" w:color="auto" w:fill="CBD2DC" w:themeFill="accent4" w:themeFillTint="66"/>
      </w:tcPr>
    </w:tblStylePr>
    <w:tblStylePr w:type="lastRow">
      <w:rPr>
        <w:b/>
        <w:bCs/>
        <w:color w:val="000000" w:themeColor="text1"/>
      </w:rPr>
      <w:tblPr/>
      <w:tcPr>
        <w:shd w:val="clear" w:color="auto" w:fill="CBD2DC" w:themeFill="accent4" w:themeFillTint="66"/>
      </w:tcPr>
    </w:tblStylePr>
    <w:tblStylePr w:type="firstCol">
      <w:rPr>
        <w:color w:val="FFFFFF" w:themeColor="background1"/>
      </w:rPr>
      <w:tblPr/>
      <w:tcPr>
        <w:shd w:val="clear" w:color="auto" w:fill="596984" w:themeFill="accent4" w:themeFillShade="BF"/>
      </w:tcPr>
    </w:tblStylePr>
    <w:tblStylePr w:type="lastCol">
      <w:rPr>
        <w:color w:val="FFFFFF" w:themeColor="background1"/>
      </w:rPr>
      <w:tblPr/>
      <w:tcPr>
        <w:shd w:val="clear" w:color="auto" w:fill="596984" w:themeFill="accent4" w:themeFillShade="BF"/>
      </w:tcPr>
    </w:tblStylePr>
    <w:tblStylePr w:type="band1Vert">
      <w:tblPr/>
      <w:tcPr>
        <w:shd w:val="clear" w:color="auto" w:fill="BFC7D4" w:themeFill="accent4" w:themeFillTint="7F"/>
      </w:tcPr>
    </w:tblStylePr>
    <w:tblStylePr w:type="band1Horz">
      <w:tblPr/>
      <w:tcPr>
        <w:shd w:val="clear" w:color="auto" w:fill="BFC7D4"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DECEE" w:themeFill="accent5" w:themeFillTint="33"/>
    </w:tcPr>
    <w:tblStylePr w:type="firstRow">
      <w:rPr>
        <w:b/>
        <w:bCs/>
      </w:rPr>
      <w:tblPr/>
      <w:tcPr>
        <w:shd w:val="clear" w:color="auto" w:fill="BCD9DE" w:themeFill="accent5" w:themeFillTint="66"/>
      </w:tcPr>
    </w:tblStylePr>
    <w:tblStylePr w:type="lastRow">
      <w:rPr>
        <w:b/>
        <w:bCs/>
        <w:color w:val="000000" w:themeColor="text1"/>
      </w:rPr>
      <w:tblPr/>
      <w:tcPr>
        <w:shd w:val="clear" w:color="auto" w:fill="BCD9DE" w:themeFill="accent5" w:themeFillTint="66"/>
      </w:tcPr>
    </w:tblStylePr>
    <w:tblStylePr w:type="firstCol">
      <w:rPr>
        <w:color w:val="FFFFFF" w:themeColor="background1"/>
      </w:rPr>
      <w:tblPr/>
      <w:tcPr>
        <w:shd w:val="clear" w:color="auto" w:fill="417A84" w:themeFill="accent5" w:themeFillShade="BF"/>
      </w:tcPr>
    </w:tblStylePr>
    <w:tblStylePr w:type="lastCol">
      <w:rPr>
        <w:color w:val="FFFFFF" w:themeColor="background1"/>
      </w:rPr>
      <w:tblPr/>
      <w:tcPr>
        <w:shd w:val="clear" w:color="auto" w:fill="417A84" w:themeFill="accent5" w:themeFillShade="BF"/>
      </w:tcPr>
    </w:tblStylePr>
    <w:tblStylePr w:type="band1Vert">
      <w:tblPr/>
      <w:tcPr>
        <w:shd w:val="clear" w:color="auto" w:fill="ACD0D6" w:themeFill="accent5" w:themeFillTint="7F"/>
      </w:tcPr>
    </w:tblStylePr>
    <w:tblStylePr w:type="band1Horz">
      <w:tblPr/>
      <w:tcPr>
        <w:shd w:val="clear" w:color="auto" w:fill="ACD0D6"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BE8EC" w:themeFill="accent6" w:themeFillTint="33"/>
    </w:tcPr>
    <w:tblStylePr w:type="firstRow">
      <w:rPr>
        <w:b/>
        <w:bCs/>
      </w:rPr>
      <w:tblPr/>
      <w:tcPr>
        <w:shd w:val="clear" w:color="auto" w:fill="D7D2D9" w:themeFill="accent6" w:themeFillTint="66"/>
      </w:tcPr>
    </w:tblStylePr>
    <w:tblStylePr w:type="lastRow">
      <w:rPr>
        <w:b/>
        <w:bCs/>
        <w:color w:val="000000" w:themeColor="text1"/>
      </w:rPr>
      <w:tblPr/>
      <w:tcPr>
        <w:shd w:val="clear" w:color="auto" w:fill="D7D2D9" w:themeFill="accent6" w:themeFillTint="66"/>
      </w:tcPr>
    </w:tblStylePr>
    <w:tblStylePr w:type="firstCol">
      <w:rPr>
        <w:color w:val="FFFFFF" w:themeColor="background1"/>
      </w:rPr>
      <w:tblPr/>
      <w:tcPr>
        <w:shd w:val="clear" w:color="auto" w:fill="77697A" w:themeFill="accent6" w:themeFillShade="BF"/>
      </w:tcPr>
    </w:tblStylePr>
    <w:tblStylePr w:type="lastCol">
      <w:rPr>
        <w:color w:val="FFFFFF" w:themeColor="background1"/>
      </w:rPr>
      <w:tblPr/>
      <w:tcPr>
        <w:shd w:val="clear" w:color="auto" w:fill="77697A" w:themeFill="accent6" w:themeFillShade="BF"/>
      </w:tcPr>
    </w:tblStylePr>
    <w:tblStylePr w:type="band1Vert">
      <w:tblPr/>
      <w:tcPr>
        <w:shd w:val="clear" w:color="auto" w:fill="CEC7CF" w:themeFill="accent6" w:themeFillTint="7F"/>
      </w:tcPr>
    </w:tblStylePr>
    <w:tblStylePr w:type="band1Horz">
      <w:tblPr/>
      <w:tcPr>
        <w:shd w:val="clear" w:color="auto" w:fill="CEC7CF" w:themeFill="accent6" w:themeFillTint="7F"/>
      </w:tcPr>
    </w:tblStylePr>
  </w:style>
  <w:style w:type="character" w:styleId="CommentReference">
    <w:name w:val="annotation reference"/>
    <w:basedOn w:val="DefaultParagraphFont"/>
    <w:uiPriority w:val="99"/>
    <w:semiHidden/>
    <w:unhideWhenUsed/>
    <w:rsid w:val="00C941E2"/>
    <w:rPr>
      <w:sz w:val="16"/>
      <w:szCs w:val="16"/>
    </w:rPr>
  </w:style>
  <w:style w:type="paragraph" w:styleId="CommentText">
    <w:name w:val="annotation text"/>
    <w:basedOn w:val="Normal"/>
    <w:link w:val="CommentTextChar"/>
    <w:uiPriority w:val="99"/>
    <w:semiHidden/>
    <w:unhideWhenUsed/>
    <w:rsid w:val="00C941E2"/>
    <w:pPr>
      <w:spacing w:line="240" w:lineRule="auto"/>
    </w:pPr>
    <w:rPr>
      <w:sz w:val="20"/>
      <w:szCs w:val="20"/>
    </w:rPr>
  </w:style>
  <w:style w:type="character" w:customStyle="1" w:styleId="CommentTextChar">
    <w:name w:val="Comment Text Char"/>
    <w:basedOn w:val="DefaultParagraphFont"/>
    <w:link w:val="CommentText"/>
    <w:uiPriority w:val="99"/>
    <w:semiHidden/>
    <w:rsid w:val="00C941E2"/>
    <w:rPr>
      <w:rFonts w:ascii="Calibri" w:hAnsi="Calibri"/>
      <w:color w:val="000000"/>
      <w:sz w:val="20"/>
      <w:szCs w:val="20"/>
    </w:rPr>
  </w:style>
  <w:style w:type="paragraph" w:styleId="CommentSubject">
    <w:name w:val="annotation subject"/>
    <w:basedOn w:val="CommentText"/>
    <w:next w:val="CommentText"/>
    <w:link w:val="CommentSubjectChar"/>
    <w:uiPriority w:val="99"/>
    <w:semiHidden/>
    <w:unhideWhenUsed/>
    <w:rsid w:val="00C941E2"/>
    <w:rPr>
      <w:b/>
      <w:bCs/>
    </w:rPr>
  </w:style>
  <w:style w:type="character" w:customStyle="1" w:styleId="CommentSubjectChar">
    <w:name w:val="Comment Subject Char"/>
    <w:basedOn w:val="CommentTextChar"/>
    <w:link w:val="CommentSubject"/>
    <w:uiPriority w:val="99"/>
    <w:semiHidden/>
    <w:rsid w:val="00C941E2"/>
    <w:rPr>
      <w:rFonts w:ascii="Calibri" w:hAnsi="Calibri"/>
      <w:b/>
      <w:bCs/>
      <w:color w:val="000000"/>
      <w:sz w:val="20"/>
      <w:szCs w:val="20"/>
    </w:rPr>
  </w:style>
  <w:style w:type="table" w:styleId="GridTable4-Accent1">
    <w:name w:val="Grid Table 4 Accent 1"/>
    <w:basedOn w:val="TableNormal"/>
    <w:uiPriority w:val="49"/>
    <w:rsid w:val="000847DC"/>
    <w:pPr>
      <w:spacing w:after="0" w:line="240" w:lineRule="auto"/>
    </w:pPr>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color w:val="FFFFFF" w:themeColor="background1"/>
      </w:rPr>
      <w:tblPr/>
      <w:tcPr>
        <w:tcBorders>
          <w:top w:val="single" w:sz="4" w:space="0" w:color="4A66AC" w:themeColor="accent1"/>
          <w:left w:val="single" w:sz="4" w:space="0" w:color="4A66AC" w:themeColor="accent1"/>
          <w:bottom w:val="single" w:sz="4" w:space="0" w:color="4A66AC" w:themeColor="accent1"/>
          <w:right w:val="single" w:sz="4" w:space="0" w:color="4A66AC" w:themeColor="accent1"/>
          <w:insideH w:val="nil"/>
          <w:insideV w:val="nil"/>
        </w:tcBorders>
        <w:shd w:val="clear" w:color="auto" w:fill="4A66AC" w:themeFill="accent1"/>
      </w:tcPr>
    </w:tblStylePr>
    <w:tblStylePr w:type="lastRow">
      <w:rPr>
        <w:b/>
        <w:bCs/>
      </w:rPr>
      <w:tblPr/>
      <w:tcPr>
        <w:tcBorders>
          <w:top w:val="double" w:sz="4" w:space="0" w:color="4A66AC" w:themeColor="accent1"/>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styleId="GridTable4-Accent2">
    <w:name w:val="Grid Table 4 Accent 2"/>
    <w:basedOn w:val="TableNormal"/>
    <w:uiPriority w:val="49"/>
    <w:rsid w:val="000847DC"/>
    <w:pPr>
      <w:spacing w:after="0" w:line="240" w:lineRule="auto"/>
    </w:pPr>
    <w:tblPr>
      <w:tblStyleRowBandSize w:val="1"/>
      <w:tblStyleColBandSize w:val="1"/>
      <w:tblBorders>
        <w:top w:val="single" w:sz="4" w:space="0" w:color="A0C3E3" w:themeColor="accent2" w:themeTint="99"/>
        <w:left w:val="single" w:sz="4" w:space="0" w:color="A0C3E3" w:themeColor="accent2" w:themeTint="99"/>
        <w:bottom w:val="single" w:sz="4" w:space="0" w:color="A0C3E3" w:themeColor="accent2" w:themeTint="99"/>
        <w:right w:val="single" w:sz="4" w:space="0" w:color="A0C3E3" w:themeColor="accent2" w:themeTint="99"/>
        <w:insideH w:val="single" w:sz="4" w:space="0" w:color="A0C3E3" w:themeColor="accent2" w:themeTint="99"/>
        <w:insideV w:val="single" w:sz="4" w:space="0" w:color="A0C3E3" w:themeColor="accent2" w:themeTint="99"/>
      </w:tblBorders>
    </w:tblPr>
    <w:tblStylePr w:type="firstRow">
      <w:rPr>
        <w:b/>
        <w:bCs/>
        <w:color w:val="FFFFFF" w:themeColor="background1"/>
      </w:rPr>
      <w:tblPr/>
      <w:tcPr>
        <w:tcBorders>
          <w:top w:val="single" w:sz="4" w:space="0" w:color="629DD1" w:themeColor="accent2"/>
          <w:left w:val="single" w:sz="4" w:space="0" w:color="629DD1" w:themeColor="accent2"/>
          <w:bottom w:val="single" w:sz="4" w:space="0" w:color="629DD1" w:themeColor="accent2"/>
          <w:right w:val="single" w:sz="4" w:space="0" w:color="629DD1" w:themeColor="accent2"/>
          <w:insideH w:val="nil"/>
          <w:insideV w:val="nil"/>
        </w:tcBorders>
        <w:shd w:val="clear" w:color="auto" w:fill="629DD1" w:themeFill="accent2"/>
      </w:tcPr>
    </w:tblStylePr>
    <w:tblStylePr w:type="lastRow">
      <w:rPr>
        <w:b/>
        <w:bCs/>
      </w:rPr>
      <w:tblPr/>
      <w:tcPr>
        <w:tcBorders>
          <w:top w:val="double" w:sz="4" w:space="0" w:color="629DD1" w:themeColor="accent2"/>
        </w:tcBorders>
      </w:tcPr>
    </w:tblStylePr>
    <w:tblStylePr w:type="firstCol">
      <w:rPr>
        <w:b/>
        <w:bCs/>
      </w:rPr>
    </w:tblStylePr>
    <w:tblStylePr w:type="lastCol">
      <w:rPr>
        <w:b/>
        <w:bCs/>
      </w:rPr>
    </w:tblStylePr>
    <w:tblStylePr w:type="band1Vert">
      <w:tblPr/>
      <w:tcPr>
        <w:shd w:val="clear" w:color="auto" w:fill="DFEBF5" w:themeFill="accent2" w:themeFillTint="33"/>
      </w:tcPr>
    </w:tblStylePr>
    <w:tblStylePr w:type="band1Horz">
      <w:tblPr/>
      <w:tcPr>
        <w:shd w:val="clear" w:color="auto" w:fill="DFEBF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25" Type="http://schemas.openxmlformats.org/officeDocument/2006/relationships/footer" Target="footer1.xml"/><Relationship Id="rId26" Type="http://schemas.openxmlformats.org/officeDocument/2006/relationships/fontTable" Target="fontTable.xml"/><Relationship Id="rId28" Type="http://schemas.openxmlformats.org/officeDocument/2006/relationships/theme" Target="theme/theme1.xml"/><Relationship Id="rId101" Type="http://schemas.openxmlformats.org/officeDocument/2006/relationships/image" Target="media/image1.png"/><Relationship Id="rId102" Type="http://schemas.openxmlformats.org/officeDocument/2006/relationships/image" Target="media/image2.png"/><Relationship Id="rId103" Type="http://schemas.openxmlformats.org/officeDocument/2006/relationships/image" Target="media/image3.png"/><Relationship Id="rId201" Type="http://schemas.openxmlformats.org/officeDocument/2006/relationships/hyperlink" Target="https://www.jmlr.org/papers/v11/cawley10a.html" TargetMode="External"/><Relationship Id="rId202" Type="http://schemas.openxmlformats.org/officeDocument/2006/relationships/hyperlink" Target="https://arxiv.org/abs/2203.17256" TargetMode="External"/><Relationship Id="rId203" Type="http://schemas.openxmlformats.org/officeDocument/2006/relationships/hyperlink" Target="https://www.kaggle.com/competitions/energy-anomaly-detection" TargetMode="External"/><Relationship Id="rId204" Type="http://schemas.openxmlformats.org/officeDocument/2006/relationships/hyperlink" Target="https://papers.nips.cc/paper/2017/file/6449f44a102fde848669bdd9eb6b76fa-Paper.pdf" TargetMode="External"/><Relationship Id="rId205" Type="http://schemas.openxmlformats.org/officeDocument/2006/relationships/hyperlink" Target="https://lightgbm.readthedocs.io/en/latest/Parameters.html" TargetMode="External"/><Relationship Id="rId206" Type="http://schemas.openxmlformats.org/officeDocument/2006/relationships/hyperlink" Target="https://doi.org/10.1109/ICDM.2008.17" TargetMode="External"/><Relationship Id="rId207" Type="http://schemas.openxmlformats.org/officeDocument/2006/relationships/hyperlink" Target="https://doi.org/10.1371/journal.pone.0118432" TargetMode="External"/><Relationship Id="rId208" Type="http://schemas.openxmlformats.org/officeDocument/2006/relationships/hyperlink" Target="https://scikit-learn.org/stable/modules/generated/sklearn.model_selection.GroupKFold.html" TargetMode="External"/><Relationship Id="rId209" Type="http://schemas.openxmlformats.org/officeDocument/2006/relationships/hyperlink" Target="https://scikit-learn.org/stable/modules/generated/sklearn.ensemble.IsolationForest.html" TargetMode="External"/><Relationship Id="rId210" Type="http://schemas.openxmlformats.org/officeDocument/2006/relationships/hyperlink" Target="https://scikit-learn.org/stable/modules/generated/sklearn.metrics.average_precision_score.html" TargetMode="External"/><Relationship Id="rId211" Type="http://schemas.openxmlformats.org/officeDocument/2006/relationships/hyperlink" Target="https://proceedings.neurips.cc/paper/2012/file/05311655a15b75fab86956663e1819cd-Paper.pdf" TargetMode="External"/></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10</Pages>
  <Words>3365</Words>
  <Characters>19184</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South African inflation forecasting for 2026</vt:lpstr>
    </vt:vector>
  </TitlesOfParts>
  <Manager/>
  <Company/>
  <LinksUpToDate>false</LinksUpToDate>
  <CharactersWithSpaces>22504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Anomaly detection in hourly building electricity meter data</dc:title>
  <dc:subject>EDAB6808 Assignment 2 Question 1</dc:subject>
  <dc:creator>Lwazi</dc:creator>
  <cp:keywords/>
  <dc:description/>
  <cp:lastModifiedBy>Lwazi Nhlapo</cp:lastModifiedBy>
  <cp:revision>2</cp:revision>
  <dcterms:created xsi:type="dcterms:W3CDTF">2026-09-29T22:15:00Z</dcterms:created>
  <dcterms:modified xsi:type="dcterms:W3CDTF">2026-09-29T22:15:00Z</dcterms:modified>
  <cp:category/>
</cp:coreProperties>
</file>