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8E2D5B"/>
          <w:sz w:val="60"/>
        </w:rPr>
        <w:t>Amruni</w:t>
      </w:r>
    </w:p>
    <w:p>
      <w:pPr>
        <w:spacing w:after="40"/>
      </w:pPr>
      <w:r>
        <w:rPr>
          <w:color w:val="1A1A1A"/>
          <w:sz w:val="30"/>
        </w:rPr>
        <w:t>Environment Variables &amp; Deployment Configuration</w:t>
      </w:r>
    </w:p>
    <w:p>
      <w:r>
        <w:rPr>
          <w:i/>
          <w:color w:val="5A5A5A"/>
          <w:sz w:val="19"/>
        </w:rPr>
        <w:t>Prepared for AWS hosting  ·  9 September 2026  ·  Reflects branch fix/community-ciphertext</w:t>
      </w:r>
    </w:p>
    <w:p>
      <w:pPr>
        <w:spacing w:after="200" w:before="0"/>
      </w:pPr>
      <w:r>
        <w:rPr>
          <w:b w:val="0"/>
          <w:i w:val="0"/>
          <w:color w:val="1A1A1A"/>
          <w:sz w:val="21"/>
        </w:rPr>
        <w:t>This document lists every environment variable the Amruni platform reads, what each one does, whether it is required, and what it should be set to on AWS. It is written to be actioned directly by whoever configures the infrastructure.</w:t>
      </w:r>
    </w:p>
    <w:tbl>
      <w:tblPr>
        <w:tblStyle w:val="TableGrid"/>
        <w:tblW w:type="auto" w:w="0"/>
        <w:tblLook w:firstColumn="1" w:firstRow="1" w:lastColumn="0" w:lastRow="0" w:noHBand="0" w:noVBand="1" w:val="04A0"/>
      </w:tblPr>
      <w:tblGrid>
        <w:gridCol w:w="10080"/>
      </w:tblGrid>
      <w:tr>
        <w:tc>
          <w:tcPr>
            <w:tcW w:type="dxa" w:w="10080"/>
            <w:shd w:val="clear" w:color="auto" w:fill="FDF2F2"/>
          </w:tcPr>
          <w:p>
            <w:r/>
            <w:r>
              <w:rPr>
                <w:b/>
                <w:color w:val="A31D1D"/>
                <w:sz w:val="21"/>
              </w:rPr>
              <w:t>Secret values are deliberately not printed in this document.</w:t>
            </w:r>
          </w:p>
          <w:p>
            <w:pPr>
              <w:spacing w:after="40"/>
            </w:pPr>
            <w:r>
              <w:rPr>
                <w:sz w:val="20"/>
              </w:rPr>
              <w:t>Three variables (AMRUNI_DATA_KEY, JWT_SECRET, ADMIN_PASSWORD) are live production secrets. They are marked below as "supplied separately" and should be handed over through a secret manager or a password vault, never inside a document that gets emailed or shared on a drive. Section 8 explains exactly how to retrieve them from the current deployment.</w:t>
            </w:r>
          </w:p>
        </w:tc>
      </w:tr>
    </w:tbl>
    <w:p>
      <w:pPr>
        <w:spacing w:after="40"/>
      </w:pPr>
    </w:p>
    <w:p>
      <w:pPr>
        <w:spacing w:before="360" w:after="80"/>
      </w:pPr>
      <w:r>
        <w:rPr>
          <w:b/>
          <w:color w:val="8E2D5B"/>
          <w:sz w:val="30"/>
        </w:rPr>
        <w:t>1.  What is being deployed</w:t>
      </w:r>
    </w:p>
    <w:p>
      <w:pPr>
        <w:spacing w:after="160" w:before="0"/>
      </w:pPr>
      <w:r>
        <w:rPr>
          <w:b w:val="0"/>
          <w:i w:val="0"/>
          <w:color w:val="1A1A1A"/>
          <w:sz w:val="21"/>
        </w:rPr>
        <w:t>The platform is four deployable units — one backend and three frontend builds that come from the same source tree with different build-time configuration.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shd w:val="clear" w:color="auto" w:fill="3D2430"/>
          </w:tcPr>
          <w:p>
            <w:r/>
            <w:r>
              <w:rPr>
                <w:b/>
                <w:color w:val="FFFFFF"/>
                <w:sz w:val="19"/>
              </w:rPr>
              <w:t>Unit</w:t>
            </w:r>
          </w:p>
        </w:tc>
        <w:tc>
          <w:tcPr>
            <w:tcW w:type="dxa" w:w="2448"/>
            <w:shd w:val="clear" w:color="auto" w:fill="3D2430"/>
          </w:tcPr>
          <w:p>
            <w:r/>
            <w:r>
              <w:rPr>
                <w:b/>
                <w:color w:val="FFFFFF"/>
                <w:sz w:val="19"/>
              </w:rPr>
              <w:t>Technology</w:t>
            </w:r>
          </w:p>
        </w:tc>
        <w:tc>
          <w:tcPr>
            <w:tcW w:type="dxa" w:w="2160"/>
            <w:shd w:val="clear" w:color="auto" w:fill="3D2430"/>
          </w:tcPr>
          <w:p>
            <w:r/>
            <w:r>
              <w:rPr>
                <w:b/>
                <w:color w:val="FFFFFF"/>
                <w:sz w:val="19"/>
              </w:rPr>
              <w:t>Source directory</w:t>
            </w:r>
          </w:p>
        </w:tc>
        <w:tc>
          <w:tcPr>
            <w:tcW w:type="dxa" w:w="1440"/>
            <w:shd w:val="clear" w:color="auto" w:fill="3D2430"/>
          </w:tcPr>
          <w:p>
            <w:r/>
            <w:r>
              <w:rPr>
                <w:b/>
                <w:color w:val="FFFFFF"/>
                <w:sz w:val="19"/>
              </w:rPr>
              <w:t>Current host</w:t>
            </w:r>
          </w:p>
        </w:tc>
        <w:tc>
          <w:tcPr>
            <w:tcW w:type="dxa" w:w="1872"/>
            <w:shd w:val="clear" w:color="auto" w:fill="3D2430"/>
          </w:tcPr>
          <w:p>
            <w:r/>
            <w:r>
              <w:rPr>
                <w:b/>
                <w:color w:val="FFFFFF"/>
                <w:sz w:val="19"/>
              </w:rPr>
              <w:t>Config style</w:t>
            </w:r>
          </w:p>
        </w:tc>
      </w:tr>
      <w:tr>
        <w:tc>
          <w:tcPr>
            <w:tcW w:type="dxa" w:w="1440"/>
          </w:tcPr>
          <w:p>
            <w:pPr>
              <w:spacing w:after="40"/>
            </w:pPr>
            <w:r/>
            <w:r>
              <w:rPr>
                <w:rFonts w:ascii="Consolas" w:hAnsi="Consolas"/>
                <w:b/>
                <w:sz w:val="17"/>
              </w:rPr>
              <w:t>Backend API</w:t>
            </w:r>
          </w:p>
        </w:tc>
        <w:tc>
          <w:tcPr>
            <w:tcW w:type="dxa" w:w="2448"/>
          </w:tcPr>
          <w:p>
            <w:pPr>
              <w:spacing w:after="40"/>
            </w:pPr>
            <w:r/>
            <w:r>
              <w:rPr>
                <w:sz w:val="17"/>
              </w:rPr>
              <w:t>Python 3.12 / FastAPI / Uvicorn, SQLite</w:t>
            </w:r>
          </w:p>
        </w:tc>
        <w:tc>
          <w:tcPr>
            <w:tcW w:type="dxa" w:w="2160"/>
          </w:tcPr>
          <w:p>
            <w:pPr>
              <w:spacing w:after="40"/>
            </w:pPr>
            <w:r/>
            <w:r>
              <w:rPr>
                <w:sz w:val="17"/>
              </w:rPr>
              <w:t>server/</w:t>
            </w:r>
          </w:p>
        </w:tc>
        <w:tc>
          <w:tcPr>
            <w:tcW w:type="dxa" w:w="1440"/>
          </w:tcPr>
          <w:p>
            <w:pPr>
              <w:spacing w:after="40"/>
            </w:pPr>
            <w:r/>
            <w:r>
              <w:rPr>
                <w:sz w:val="17"/>
              </w:rPr>
              <w:t>Railway</w:t>
            </w:r>
          </w:p>
        </w:tc>
        <w:tc>
          <w:tcPr>
            <w:tcW w:type="dxa" w:w="1872"/>
          </w:tcPr>
          <w:p>
            <w:pPr>
              <w:spacing w:after="40"/>
            </w:pPr>
            <w:r/>
            <w:r>
              <w:rPr>
                <w:sz w:val="17"/>
              </w:rPr>
              <w:t>Runtime env vars</w:t>
            </w:r>
          </w:p>
        </w:tc>
      </w:tr>
      <w:tr>
        <w:tc>
          <w:tcPr>
            <w:tcW w:type="dxa" w:w="1440"/>
            <w:shd w:val="clear" w:color="auto" w:fill="F7F4F6"/>
          </w:tcPr>
          <w:p>
            <w:pPr>
              <w:spacing w:after="40"/>
            </w:pPr>
            <w:r/>
            <w:r>
              <w:rPr>
                <w:rFonts w:ascii="Consolas" w:hAnsi="Consolas"/>
                <w:b/>
                <w:sz w:val="17"/>
              </w:rPr>
              <w:t>Patient app</w:t>
            </w:r>
          </w:p>
        </w:tc>
        <w:tc>
          <w:tcPr>
            <w:tcW w:type="dxa" w:w="2448"/>
            <w:shd w:val="clear" w:color="auto" w:fill="F7F4F6"/>
          </w:tcPr>
          <w:p>
            <w:pPr>
              <w:spacing w:after="40"/>
            </w:pPr>
            <w:r/>
            <w:r>
              <w:rPr>
                <w:sz w:val="17"/>
              </w:rPr>
              <w:t>React 18 + Vite (static SPA)</w:t>
            </w:r>
          </w:p>
        </w:tc>
        <w:tc>
          <w:tcPr>
            <w:tcW w:type="dxa" w:w="2160"/>
            <w:shd w:val="clear" w:color="auto" w:fill="F7F4F6"/>
          </w:tcPr>
          <w:p>
            <w:pPr>
              <w:spacing w:after="40"/>
            </w:pPr>
            <w:r/>
            <w:r>
              <w:rPr>
                <w:sz w:val="17"/>
              </w:rPr>
              <w:t>amruni-app/</w:t>
            </w:r>
          </w:p>
        </w:tc>
        <w:tc>
          <w:tcPr>
            <w:tcW w:type="dxa" w:w="1440"/>
            <w:shd w:val="clear" w:color="auto" w:fill="F7F4F6"/>
          </w:tcPr>
          <w:p>
            <w:pPr>
              <w:spacing w:after="40"/>
            </w:pPr>
            <w:r/>
            <w:r>
              <w:rPr>
                <w:sz w:val="17"/>
              </w:rPr>
              <w:t>Netlify</w:t>
            </w:r>
          </w:p>
        </w:tc>
        <w:tc>
          <w:tcPr>
            <w:tcW w:type="dxa" w:w="1872"/>
            <w:shd w:val="clear" w:color="auto" w:fill="F7F4F6"/>
          </w:tcPr>
          <w:p>
            <w:pPr>
              <w:spacing w:after="40"/>
            </w:pPr>
            <w:r/>
            <w:r>
              <w:rPr>
                <w:sz w:val="17"/>
              </w:rPr>
              <w:t>Build-time env vars</w:t>
            </w:r>
          </w:p>
        </w:tc>
      </w:tr>
      <w:tr>
        <w:tc>
          <w:tcPr>
            <w:tcW w:type="dxa" w:w="1440"/>
          </w:tcPr>
          <w:p>
            <w:pPr>
              <w:spacing w:after="40"/>
            </w:pPr>
            <w:r/>
            <w:r>
              <w:rPr>
                <w:rFonts w:ascii="Consolas" w:hAnsi="Consolas"/>
                <w:b/>
                <w:sz w:val="17"/>
              </w:rPr>
              <w:t>Doctor console</w:t>
            </w:r>
          </w:p>
        </w:tc>
        <w:tc>
          <w:tcPr>
            <w:tcW w:type="dxa" w:w="2448"/>
          </w:tcPr>
          <w:p>
            <w:pPr>
              <w:spacing w:after="40"/>
            </w:pPr>
            <w:r/>
            <w:r>
              <w:rPr>
                <w:sz w:val="17"/>
              </w:rPr>
              <w:t>Same source, --mode doctor</w:t>
            </w:r>
          </w:p>
        </w:tc>
        <w:tc>
          <w:tcPr>
            <w:tcW w:type="dxa" w:w="2160"/>
          </w:tcPr>
          <w:p>
            <w:pPr>
              <w:spacing w:after="40"/>
            </w:pPr>
            <w:r/>
            <w:r>
              <w:rPr>
                <w:sz w:val="17"/>
              </w:rPr>
              <w:t>amruni-app/</w:t>
            </w:r>
          </w:p>
        </w:tc>
        <w:tc>
          <w:tcPr>
            <w:tcW w:type="dxa" w:w="1440"/>
          </w:tcPr>
          <w:p>
            <w:pPr>
              <w:spacing w:after="40"/>
            </w:pPr>
            <w:r/>
            <w:r>
              <w:rPr>
                <w:sz w:val="17"/>
              </w:rPr>
              <w:t>Netlify</w:t>
            </w:r>
          </w:p>
        </w:tc>
        <w:tc>
          <w:tcPr>
            <w:tcW w:type="dxa" w:w="1872"/>
          </w:tcPr>
          <w:p>
            <w:pPr>
              <w:spacing w:after="40"/>
            </w:pPr>
            <w:r/>
            <w:r>
              <w:rPr>
                <w:sz w:val="17"/>
              </w:rPr>
              <w:t>Build-time env vars</w:t>
            </w:r>
          </w:p>
        </w:tc>
      </w:tr>
      <w:tr>
        <w:tc>
          <w:tcPr>
            <w:tcW w:type="dxa" w:w="1440"/>
            <w:shd w:val="clear" w:color="auto" w:fill="F7F4F6"/>
          </w:tcPr>
          <w:p>
            <w:pPr>
              <w:spacing w:after="40"/>
            </w:pPr>
            <w:r/>
            <w:r>
              <w:rPr>
                <w:rFonts w:ascii="Consolas" w:hAnsi="Consolas"/>
                <w:b/>
                <w:sz w:val="17"/>
              </w:rPr>
              <w:t>Admin portal</w:t>
            </w:r>
          </w:p>
        </w:tc>
        <w:tc>
          <w:tcPr>
            <w:tcW w:type="dxa" w:w="2448"/>
            <w:shd w:val="clear" w:color="auto" w:fill="F7F4F6"/>
          </w:tcPr>
          <w:p>
            <w:pPr>
              <w:spacing w:after="40"/>
            </w:pPr>
            <w:r/>
            <w:r>
              <w:rPr>
                <w:sz w:val="17"/>
              </w:rPr>
              <w:t>Same source, --mode admin</w:t>
            </w:r>
          </w:p>
        </w:tc>
        <w:tc>
          <w:tcPr>
            <w:tcW w:type="dxa" w:w="2160"/>
            <w:shd w:val="clear" w:color="auto" w:fill="F7F4F6"/>
          </w:tcPr>
          <w:p>
            <w:pPr>
              <w:spacing w:after="40"/>
            </w:pPr>
            <w:r/>
            <w:r>
              <w:rPr>
                <w:sz w:val="17"/>
              </w:rPr>
              <w:t>amruni-app/</w:t>
            </w:r>
          </w:p>
        </w:tc>
        <w:tc>
          <w:tcPr>
            <w:tcW w:type="dxa" w:w="1440"/>
            <w:shd w:val="clear" w:color="auto" w:fill="F7F4F6"/>
          </w:tcPr>
          <w:p>
            <w:pPr>
              <w:spacing w:after="40"/>
            </w:pPr>
            <w:r/>
            <w:r>
              <w:rPr>
                <w:sz w:val="17"/>
              </w:rPr>
              <w:t>Netlify</w:t>
            </w:r>
          </w:p>
        </w:tc>
        <w:tc>
          <w:tcPr>
            <w:tcW w:type="dxa" w:w="1872"/>
            <w:shd w:val="clear" w:color="auto" w:fill="F7F4F6"/>
          </w:tcPr>
          <w:p>
            <w:pPr>
              <w:spacing w:after="40"/>
            </w:pPr>
            <w:r/>
            <w:r>
              <w:rPr>
                <w:sz w:val="17"/>
              </w:rPr>
              <w:t>Build-time env vars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FFF8E7"/>
          </w:tcPr>
          <w:p>
            <w:r/>
            <w:r>
              <w:rPr>
                <w:b/>
                <w:color w:val="8A5A00"/>
                <w:sz w:val="21"/>
              </w:rPr>
              <w:t>The single most important distinction in this document.</w:t>
            </w:r>
          </w:p>
          <w:p>
            <w:pPr>
              <w:spacing w:after="40"/>
            </w:pPr>
            <w:r>
              <w:rPr>
                <w:sz w:val="20"/>
              </w:rPr>
              <w:t>Backend variables are read at RUNTIME — change one, restart the service, done. Frontend variables are consumed by Vite at BUILD time and compiled into the JavaScript bundle. Setting a VITE_ variable on a running web server does nothing. Changing one requires a rebuild and redeploy. It also means every VITE_ value is publicly readable in the shipped bundle, so no secret may ever be placed in one.</w:t>
            </w:r>
          </w:p>
        </w:tc>
      </w:tr>
    </w:tbl>
    <w:p>
      <w:pPr>
        <w:spacing w:after="40"/>
      </w:pPr>
    </w:p>
    <w:p>
      <w:pPr>
        <w:spacing w:after="120" w:before="0"/>
      </w:pPr>
      <w:r>
        <w:rPr>
          <w:b w:val="0"/>
          <w:i/>
          <w:color w:val="5A5A5A"/>
          <w:sz w:val="20"/>
        </w:rPr>
        <w:t>The repository also contains a legacy folder, amruni-backend/, holding an older prototype with its own TWILIO_* variables. It is not deployed, not referenced by the running system, and its variables should be ignored. The live backend is server/ only.</w:t>
      </w:r>
    </w:p>
    <w:p>
      <w:pPr>
        <w:spacing w:before="360" w:after="80"/>
      </w:pPr>
      <w:r>
        <w:rPr>
          <w:b/>
          <w:color w:val="8E2D5B"/>
          <w:sz w:val="30"/>
        </w:rPr>
        <w:t>2.  Backend — required variables</w:t>
      </w:r>
    </w:p>
    <w:p>
      <w:pPr>
        <w:spacing w:after="160" w:before="0"/>
      </w:pPr>
      <w:r>
        <w:rPr>
          <w:b w:val="0"/>
          <w:i w:val="0"/>
          <w:color w:val="1A1A1A"/>
          <w:sz w:val="21"/>
        </w:rPr>
        <w:t>Without these four the service either refuses to start or loses data. Set all four before the first boot.</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val="clear" w:color="auto" w:fill="3D2430"/>
          </w:tcPr>
          <w:p>
            <w:r/>
            <w:r>
              <w:rPr>
                <w:b/>
                <w:color w:val="FFFFFF"/>
                <w:sz w:val="19"/>
              </w:rPr>
              <w:t>Variable</w:t>
            </w:r>
          </w:p>
        </w:tc>
        <w:tc>
          <w:tcPr>
            <w:tcW w:type="dxa" w:w="2160"/>
            <w:shd w:val="clear" w:color="auto" w:fill="3D2430"/>
          </w:tcPr>
          <w:p>
            <w:r/>
            <w:r>
              <w:rPr>
                <w:b/>
                <w:color w:val="FFFFFF"/>
                <w:sz w:val="19"/>
              </w:rPr>
              <w:t>Value to set</w:t>
            </w:r>
          </w:p>
        </w:tc>
        <w:tc>
          <w:tcPr>
            <w:tcW w:type="dxa" w:w="5256"/>
            <w:shd w:val="clear" w:color="auto" w:fill="3D2430"/>
          </w:tcPr>
          <w:p>
            <w:r/>
            <w:r>
              <w:rPr>
                <w:b/>
                <w:color w:val="FFFFFF"/>
                <w:sz w:val="19"/>
              </w:rPr>
              <w:t>What it does</w:t>
            </w:r>
          </w:p>
        </w:tc>
      </w:tr>
      <w:tr>
        <w:tc>
          <w:tcPr>
            <w:tcW w:type="dxa" w:w="1944"/>
          </w:tcPr>
          <w:p>
            <w:pPr>
              <w:spacing w:after="40"/>
            </w:pPr>
            <w:r/>
            <w:r>
              <w:rPr>
                <w:rFonts w:ascii="Consolas" w:hAnsi="Consolas"/>
                <w:b/>
                <w:sz w:val="17"/>
              </w:rPr>
              <w:t>ENV</w:t>
            </w:r>
          </w:p>
        </w:tc>
        <w:tc>
          <w:tcPr>
            <w:tcW w:type="dxa" w:w="2160"/>
          </w:tcPr>
          <w:p>
            <w:pPr>
              <w:spacing w:after="40"/>
            </w:pPr>
            <w:r/>
            <w:r>
              <w:rPr>
                <w:rFonts w:ascii="Consolas" w:hAnsi="Consolas"/>
                <w:sz w:val="17"/>
              </w:rPr>
              <w:t>production</w:t>
            </w:r>
          </w:p>
        </w:tc>
        <w:tc>
          <w:tcPr>
            <w:tcW w:type="dxa" w:w="5256"/>
          </w:tcPr>
          <w:p>
            <w:pPr>
              <w:spacing w:after="40"/>
            </w:pPr>
            <w:r/>
            <w:r>
              <w:rPr>
                <w:sz w:val="17"/>
              </w:rPr>
              <w:t>Puts the app in production posture. It makes a missing JWT_SECRET or AMRUNI_DATA_KEY a fatal startup error rather than a silent fallback to a development key, and removes local-development CORS defaults. NODE_ENV is accepted as an alias for the same purpose.</w:t>
            </w:r>
          </w:p>
        </w:tc>
      </w:tr>
      <w:tr>
        <w:tc>
          <w:tcPr>
            <w:tcW w:type="dxa" w:w="1944"/>
            <w:shd w:val="clear" w:color="auto" w:fill="F7F4F6"/>
          </w:tcPr>
          <w:p>
            <w:pPr>
              <w:spacing w:after="40"/>
            </w:pPr>
            <w:r/>
            <w:r>
              <w:rPr>
                <w:rFonts w:ascii="Consolas" w:hAnsi="Consolas"/>
                <w:b/>
                <w:sz w:val="17"/>
              </w:rPr>
              <w:t>JWT_SECRET</w:t>
            </w:r>
          </w:p>
        </w:tc>
        <w:tc>
          <w:tcPr>
            <w:tcW w:type="dxa" w:w="2160"/>
            <w:shd w:val="clear" w:color="auto" w:fill="F7F4F6"/>
          </w:tcPr>
          <w:p>
            <w:pPr>
              <w:spacing w:after="40"/>
            </w:pPr>
            <w:r/>
            <w:r>
              <w:rPr>
                <w:sz w:val="17"/>
              </w:rPr>
              <w:t>Supplied separately</w:t>
              <w:br/>
              <w:t>(48-byte random string)</w:t>
            </w:r>
          </w:p>
        </w:tc>
        <w:tc>
          <w:tcPr>
            <w:tcW w:type="dxa" w:w="5256"/>
            <w:shd w:val="clear" w:color="auto" w:fill="F7F4F6"/>
          </w:tcPr>
          <w:p>
            <w:pPr>
              <w:spacing w:after="40"/>
            </w:pPr>
            <w:r/>
            <w:r>
              <w:rPr>
                <w:sz w:val="17"/>
              </w:rPr>
              <w:t>Signs every session token and salts the OTP hashes. If this changes, every logged-in patient, doctor and admin is signed out at once and any OTP already in flight stops verifying. The service exits at startup if this is unset while ENV=production.</w:t>
            </w:r>
          </w:p>
        </w:tc>
      </w:tr>
      <w:tr>
        <w:tc>
          <w:tcPr>
            <w:tcW w:type="dxa" w:w="1944"/>
          </w:tcPr>
          <w:p>
            <w:pPr>
              <w:spacing w:after="40"/>
            </w:pPr>
            <w:r/>
            <w:r>
              <w:rPr>
                <w:rFonts w:ascii="Consolas" w:hAnsi="Consolas"/>
                <w:b/>
                <w:sz w:val="17"/>
              </w:rPr>
              <w:t>AMRUNI_DATA_KEY</w:t>
            </w:r>
          </w:p>
        </w:tc>
        <w:tc>
          <w:tcPr>
            <w:tcW w:type="dxa" w:w="2160"/>
          </w:tcPr>
          <w:p>
            <w:pPr>
              <w:spacing w:after="40"/>
            </w:pPr>
            <w:r/>
            <w:r>
              <w:rPr>
                <w:sz w:val="17"/>
              </w:rPr>
              <w:t>Supplied separately</w:t>
              <w:br/>
              <w:t>(base64url of 32 bytes)</w:t>
            </w:r>
          </w:p>
        </w:tc>
        <w:tc>
          <w:tcPr>
            <w:tcW w:type="dxa" w:w="5256"/>
          </w:tcPr>
          <w:p>
            <w:pPr>
              <w:spacing w:after="40"/>
            </w:pPr>
            <w:r/>
            <w:r>
              <w:rPr>
                <w:sz w:val="17"/>
              </w:rPr>
              <w:t>The AES-256-GCM key that encrypts every identifying and clinical field at rest — names, phone numbers, dates of birth, diagnoses, prescriptions, journal entries, mood logs. See the warning below; this is the one variable that cannot be regenerated.</w:t>
            </w:r>
          </w:p>
        </w:tc>
      </w:tr>
      <w:tr>
        <w:tc>
          <w:tcPr>
            <w:tcW w:type="dxa" w:w="1944"/>
            <w:shd w:val="clear" w:color="auto" w:fill="F7F4F6"/>
          </w:tcPr>
          <w:p>
            <w:pPr>
              <w:spacing w:after="40"/>
            </w:pPr>
            <w:r/>
            <w:r>
              <w:rPr>
                <w:rFonts w:ascii="Consolas" w:hAnsi="Consolas"/>
                <w:b/>
                <w:sz w:val="17"/>
              </w:rPr>
              <w:t>DB_PATH</w:t>
            </w:r>
          </w:p>
        </w:tc>
        <w:tc>
          <w:tcPr>
            <w:tcW w:type="dxa" w:w="2160"/>
            <w:shd w:val="clear" w:color="auto" w:fill="F7F4F6"/>
          </w:tcPr>
          <w:p>
            <w:pPr>
              <w:spacing w:after="40"/>
            </w:pPr>
            <w:r/>
            <w:r>
              <w:rPr>
                <w:rFonts w:ascii="Consolas" w:hAnsi="Consolas"/>
                <w:sz w:val="17"/>
              </w:rPr>
              <w:t>/data/amruni.db</w:t>
            </w:r>
          </w:p>
        </w:tc>
        <w:tc>
          <w:tcPr>
            <w:tcW w:type="dxa" w:w="5256"/>
            <w:shd w:val="clear" w:color="auto" w:fill="F7F4F6"/>
          </w:tcPr>
          <w:p>
            <w:pPr>
              <w:spacing w:after="40"/>
            </w:pPr>
            <w:r/>
            <w:r>
              <w:rPr>
                <w:sz w:val="17"/>
              </w:rPr>
              <w:t>Absolute path to the SQLite database file. The trained ML models (cycle prediction, PCOS screening) are also cached in the same directory, so this path must be on storage that survives a restart.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FDF2F2"/>
          </w:tcPr>
          <w:p>
            <w:r/>
            <w:r>
              <w:rPr>
                <w:b/>
                <w:color w:val="A31D1D"/>
                <w:sz w:val="21"/>
              </w:rPr>
              <w:t>AMRUNI_DATA_KEY must be carried over from the existing deployment unchanged.</w:t>
            </w:r>
          </w:p>
          <w:p>
            <w:pPr>
              <w:spacing w:after="40"/>
            </w:pPr>
            <w:r>
              <w:rPr>
                <w:sz w:val="20"/>
              </w:rPr>
              <w:t>This key is not a credential that can be rotated on migration. Patient data in the current database is encrypted with it, and the encryption is authenticated — a wrong key does not produce garbled text, it produces a hard decryption failure. If AWS is given a newly generated key and the existing database is restored alongside it, every existing patient record becomes permanently unreadable. There is no recovery path, by design: the key is never stored in the database. Copy the exact value across, verify a record decrypts, and only then decommission the old host.</w:t>
            </w:r>
          </w:p>
        </w:tc>
      </w:tr>
    </w:tbl>
    <w:p>
      <w:pPr>
        <w:spacing w:after="40"/>
      </w:pPr>
    </w:p>
    <w:p>
      <w:pPr>
        <w:spacing w:after="80" w:before="0"/>
      </w:pPr>
      <w:r>
        <w:rPr>
          <w:b w:val="0"/>
          <w:i w:val="0"/>
          <w:color w:val="1A1A1A"/>
          <w:sz w:val="21"/>
        </w:rPr>
        <w:t>Formats, if either secret ever needs to be generated fresh for a brand-new environment with no existing data:</w:t>
      </w:r>
    </w:p>
    <w:p>
      <w:pPr>
        <w:spacing w:after="160" w:before="40"/>
        <w:ind w:left="317"/>
      </w:pPr>
      <w:r>
        <w:rPr>
          <w:rFonts w:ascii="Consolas" w:hAnsi="Consolas"/>
          <w:sz w:val="19"/>
        </w:rPr>
        <w:t>JWT_SECRET      python -c "import secrets; print(secrets.token_urlsafe(48))"</w:t>
        <w:br/>
        <w:t>AMRUNI_DATA_KEY python -c "import base64,os; print(base64.urlsafe_b64encode(os.urandom(32)).decode().rstrip('='))"</w:t>
      </w:r>
    </w:p>
    <w:p>
      <w:pPr>
        <w:spacing w:after="120" w:before="0"/>
      </w:pPr>
      <w:r>
        <w:rPr>
          <w:b w:val="0"/>
          <w:i w:val="0"/>
          <w:color w:val="5A5A5A"/>
          <w:sz w:val="20"/>
        </w:rPr>
        <w:t>AMRUNI_DATA_KEY must decode to exactly 32 bytes. The application validates this at startup and refuses to boot on a malformed key rather than proceeding with a silently wrong one.</w:t>
      </w:r>
    </w:p>
    <w:p>
      <w:pPr>
        <w:spacing w:before="360" w:after="80"/>
      </w:pPr>
      <w:r>
        <w:rPr>
          <w:b/>
          <w:color w:val="8E2D5B"/>
          <w:sz w:val="30"/>
        </w:rPr>
        <w:t>3.  Backend — networking and operational variables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val="clear" w:color="auto" w:fill="3D2430"/>
          </w:tcPr>
          <w:p>
            <w:r/>
            <w:r>
              <w:rPr>
                <w:b/>
                <w:color w:val="FFFFFF"/>
                <w:sz w:val="19"/>
              </w:rPr>
              <w:t>Variable</w:t>
            </w:r>
          </w:p>
        </w:tc>
        <w:tc>
          <w:tcPr>
            <w:tcW w:type="dxa" w:w="1224"/>
            <w:shd w:val="clear" w:color="auto" w:fill="3D2430"/>
          </w:tcPr>
          <w:p>
            <w:r/>
            <w:r>
              <w:rPr>
                <w:b/>
                <w:color w:val="FFFFFF"/>
                <w:sz w:val="19"/>
              </w:rPr>
              <w:t>Required</w:t>
            </w:r>
          </w:p>
        </w:tc>
        <w:tc>
          <w:tcPr>
            <w:tcW w:type="dxa" w:w="2160"/>
            <w:shd w:val="clear" w:color="auto" w:fill="3D2430"/>
          </w:tcPr>
          <w:p>
            <w:r/>
            <w:r>
              <w:rPr>
                <w:b/>
                <w:color w:val="FFFFFF"/>
                <w:sz w:val="19"/>
              </w:rPr>
              <w:t>Value to set</w:t>
            </w:r>
          </w:p>
        </w:tc>
        <w:tc>
          <w:tcPr>
            <w:tcW w:type="dxa" w:w="3744"/>
            <w:shd w:val="clear" w:color="auto" w:fill="3D2430"/>
          </w:tcPr>
          <w:p>
            <w:r/>
            <w:r>
              <w:rPr>
                <w:b/>
                <w:color w:val="FFFFFF"/>
                <w:sz w:val="19"/>
              </w:rPr>
              <w:t>What it does</w:t>
            </w:r>
          </w:p>
        </w:tc>
      </w:tr>
      <w:tr>
        <w:tc>
          <w:tcPr>
            <w:tcW w:type="dxa" w:w="2232"/>
          </w:tcPr>
          <w:p>
            <w:pPr>
              <w:spacing w:after="40"/>
            </w:pPr>
            <w:r/>
            <w:r>
              <w:rPr>
                <w:rFonts w:ascii="Consolas" w:hAnsi="Consolas"/>
                <w:b/>
                <w:sz w:val="17"/>
              </w:rPr>
              <w:t>PORT</w:t>
            </w:r>
          </w:p>
        </w:tc>
        <w:tc>
          <w:tcPr>
            <w:tcW w:type="dxa" w:w="1224"/>
          </w:tcPr>
          <w:p>
            <w:pPr>
              <w:spacing w:after="40"/>
            </w:pPr>
            <w:r/>
            <w:r>
              <w:rPr>
                <w:sz w:val="17"/>
              </w:rPr>
              <w:t>Platform-set</w:t>
            </w:r>
          </w:p>
        </w:tc>
        <w:tc>
          <w:tcPr>
            <w:tcW w:type="dxa" w:w="2160"/>
          </w:tcPr>
          <w:p>
            <w:pPr>
              <w:spacing w:after="40"/>
            </w:pPr>
            <w:r/>
            <w:r>
              <w:rPr>
                <w:rFonts w:ascii="Consolas" w:hAnsi="Consolas"/>
                <w:sz w:val="17"/>
              </w:rPr>
              <w:t>8000` or as assigned</w:t>
            </w:r>
          </w:p>
        </w:tc>
        <w:tc>
          <w:tcPr>
            <w:tcW w:type="dxa" w:w="3744"/>
          </w:tcPr>
          <w:p>
            <w:pPr>
              <w:spacing w:after="40"/>
            </w:pPr>
            <w:r/>
            <w:r>
              <w:rPr>
                <w:sz w:val="17"/>
              </w:rPr>
              <w:t>The port Uvicorn binds to. Railway injects this automatically; on AWS it must be set explicitly to match the container port in the task definition or the target group. Defaults to 4000 if unset.</w:t>
            </w:r>
          </w:p>
        </w:tc>
      </w:tr>
      <w:tr>
        <w:tc>
          <w:tcPr>
            <w:tcW w:type="dxa" w:w="2232"/>
            <w:shd w:val="clear" w:color="auto" w:fill="F7F4F6"/>
          </w:tcPr>
          <w:p>
            <w:pPr>
              <w:spacing w:after="40"/>
            </w:pPr>
            <w:r/>
            <w:r>
              <w:rPr>
                <w:rFonts w:ascii="Consolas" w:hAnsi="Consolas"/>
                <w:b/>
                <w:sz w:val="17"/>
              </w:rPr>
              <w:t>ALLOWED_ORIGINS</w:t>
            </w:r>
          </w:p>
        </w:tc>
        <w:tc>
          <w:tcPr>
            <w:tcW w:type="dxa" w:w="1224"/>
            <w:shd w:val="clear" w:color="auto" w:fill="F7F4F6"/>
          </w:tcPr>
          <w:p>
            <w:pPr>
              <w:spacing w:after="40"/>
            </w:pPr>
            <w:r/>
            <w:r>
              <w:rPr>
                <w:sz w:val="17"/>
              </w:rPr>
              <w:t>Recommended</w:t>
            </w:r>
          </w:p>
        </w:tc>
        <w:tc>
          <w:tcPr>
            <w:tcW w:type="dxa" w:w="2160"/>
            <w:shd w:val="clear" w:color="auto" w:fill="F7F4F6"/>
          </w:tcPr>
          <w:p>
            <w:pPr>
              <w:spacing w:after="40"/>
            </w:pPr>
            <w:r/>
            <w:r>
              <w:rPr>
                <w:sz w:val="17"/>
              </w:rPr>
              <w:t>Comma-separated https origins</w:t>
            </w:r>
          </w:p>
        </w:tc>
        <w:tc>
          <w:tcPr>
            <w:tcW w:type="dxa" w:w="3744"/>
            <w:shd w:val="clear" w:color="auto" w:fill="F7F4F6"/>
          </w:tcPr>
          <w:p>
            <w:pPr>
              <w:spacing w:after="40"/>
            </w:pPr>
            <w:r/>
            <w:r>
              <w:rPr>
                <w:sz w:val="17"/>
              </w:rPr>
              <w:t>CORS allow-list for the browser. Must be updated to the new AWS frontend domains, or the web apps will be blocked by the browser after the move. Left unset in production it defaults to "*", which is not dangerous here — authentication is a Bearer token, not a cookie, so there is no CSRF surface — but an explicit list is the better posture.</w:t>
            </w:r>
          </w:p>
        </w:tc>
      </w:tr>
      <w:tr>
        <w:tc>
          <w:tcPr>
            <w:tcW w:type="dxa" w:w="2232"/>
          </w:tcPr>
          <w:p>
            <w:pPr>
              <w:spacing w:after="40"/>
            </w:pPr>
            <w:r/>
            <w:r>
              <w:rPr>
                <w:rFonts w:ascii="Consolas" w:hAnsi="Consolas"/>
                <w:b/>
                <w:sz w:val="17"/>
              </w:rPr>
              <w:t>WEB_CONCURRENCY</w:t>
            </w:r>
          </w:p>
        </w:tc>
        <w:tc>
          <w:tcPr>
            <w:tcW w:type="dxa" w:w="1224"/>
          </w:tcPr>
          <w:p>
            <w:pPr>
              <w:spacing w:after="40"/>
            </w:pPr>
            <w:r/>
            <w:r>
              <w:rPr>
                <w:sz w:val="17"/>
              </w:rPr>
              <w:t>No</w:t>
            </w:r>
          </w:p>
        </w:tc>
        <w:tc>
          <w:tcPr>
            <w:tcW w:type="dxa" w:w="2160"/>
          </w:tcPr>
          <w:p>
            <w:pPr>
              <w:spacing w:after="40"/>
            </w:pPr>
            <w:r/>
            <w:r>
              <w:rPr>
                <w:rFonts w:ascii="Consolas" w:hAnsi="Consolas"/>
                <w:sz w:val="17"/>
              </w:rPr>
              <w:t>1</w:t>
            </w:r>
          </w:p>
        </w:tc>
        <w:tc>
          <w:tcPr>
            <w:tcW w:type="dxa" w:w="3744"/>
          </w:tcPr>
          <w:p>
            <w:pPr>
              <w:spacing w:after="40"/>
            </w:pPr>
            <w:r/>
            <w:r>
              <w:rPr>
                <w:sz w:val="17"/>
              </w:rPr>
              <w:t>Number of Uvicorn worker processes. Leave at 1. The datastore is SQLite on a single file; multiple writer processes will contend for the write lock. Scale by instance behind a load balancer only after moving to Postgres — see section 7.</w:t>
            </w:r>
          </w:p>
        </w:tc>
      </w:tr>
      <w:tr>
        <w:tc>
          <w:tcPr>
            <w:tcW w:type="dxa" w:w="2232"/>
            <w:shd w:val="clear" w:color="auto" w:fill="F7F4F6"/>
          </w:tcPr>
          <w:p>
            <w:pPr>
              <w:spacing w:after="40"/>
            </w:pPr>
            <w:r/>
            <w:r>
              <w:rPr>
                <w:rFonts w:ascii="Consolas" w:hAnsi="Consolas"/>
                <w:b/>
                <w:sz w:val="17"/>
              </w:rPr>
              <w:t>ACCESS_LOG</w:t>
            </w:r>
          </w:p>
        </w:tc>
        <w:tc>
          <w:tcPr>
            <w:tcW w:type="dxa" w:w="1224"/>
            <w:shd w:val="clear" w:color="auto" w:fill="F7F4F6"/>
          </w:tcPr>
          <w:p>
            <w:pPr>
              <w:spacing w:after="40"/>
            </w:pPr>
            <w:r/>
            <w:r>
              <w:rPr>
                <w:sz w:val="17"/>
              </w:rPr>
              <w:t>No</w:t>
            </w:r>
          </w:p>
        </w:tc>
        <w:tc>
          <w:tcPr>
            <w:tcW w:type="dxa" w:w="2160"/>
            <w:shd w:val="clear" w:color="auto" w:fill="F7F4F6"/>
          </w:tcPr>
          <w:p>
            <w:pPr>
              <w:spacing w:after="40"/>
            </w:pPr>
            <w:r/>
            <w:r>
              <w:rPr>
                <w:rFonts w:ascii="Consolas" w:hAnsi="Consolas"/>
                <w:sz w:val="17"/>
              </w:rPr>
              <w:t>1</w:t>
            </w:r>
          </w:p>
        </w:tc>
        <w:tc>
          <w:tcPr>
            <w:tcW w:type="dxa" w:w="3744"/>
            <w:shd w:val="clear" w:color="auto" w:fill="F7F4F6"/>
          </w:tcPr>
          <w:p>
            <w:pPr>
              <w:spacing w:after="40"/>
            </w:pPr>
            <w:r/>
            <w:r>
              <w:rPr>
                <w:sz w:val="17"/>
              </w:rPr>
              <w:t>Set to 0 to silence per-request access logging. Useful if CloudWatch ingestion cost becomes a concern.</w:t>
            </w:r>
          </w:p>
        </w:tc>
      </w:tr>
      <w:tr>
        <w:tc>
          <w:tcPr>
            <w:tcW w:type="dxa" w:w="2232"/>
          </w:tcPr>
          <w:p>
            <w:pPr>
              <w:spacing w:after="40"/>
            </w:pPr>
            <w:r/>
            <w:r>
              <w:rPr>
                <w:rFonts w:ascii="Consolas" w:hAnsi="Consolas"/>
                <w:b/>
                <w:sz w:val="17"/>
              </w:rPr>
              <w:t>RAILWAY_GIT_COMMIT_SHA</w:t>
            </w:r>
          </w:p>
        </w:tc>
        <w:tc>
          <w:tcPr>
            <w:tcW w:type="dxa" w:w="1224"/>
          </w:tcPr>
          <w:p>
            <w:pPr>
              <w:spacing w:after="40"/>
            </w:pPr>
            <w:r/>
            <w:r>
              <w:rPr>
                <w:sz w:val="17"/>
              </w:rPr>
              <w:t>No</w:t>
            </w:r>
          </w:p>
        </w:tc>
        <w:tc>
          <w:tcPr>
            <w:tcW w:type="dxa" w:w="2160"/>
          </w:tcPr>
          <w:p>
            <w:pPr>
              <w:spacing w:after="40"/>
            </w:pPr>
            <w:r/>
            <w:r>
              <w:rPr>
                <w:sz w:val="17"/>
              </w:rPr>
              <w:t>(build SHA, optional)</w:t>
            </w:r>
          </w:p>
        </w:tc>
        <w:tc>
          <w:tcPr>
            <w:tcW w:type="dxa" w:w="3744"/>
          </w:tcPr>
          <w:p>
            <w:pPr>
              <w:spacing w:after="40"/>
            </w:pPr>
            <w:r/>
            <w:r>
              <w:rPr>
                <w:sz w:val="17"/>
              </w:rPr>
              <w:t>Surfaced by GET /api/health so a deploy can be confirmed as live. On AWS it will simply report "local" unless the build pipeline sets it. Cosmetic; nothing depends on it.</w:t>
            </w:r>
          </w:p>
        </w:tc>
      </w:tr>
    </w:tbl>
    <w:p>
      <w:pPr>
        <w:spacing w:after="40"/>
      </w:pPr>
    </w:p>
    <w:p>
      <w:pPr>
        <w:spacing w:after="60" w:before="0"/>
      </w:pPr>
      <w:r>
        <w:rPr>
          <w:b w:val="0"/>
          <w:i w:val="0"/>
          <w:color w:val="1A1A1A"/>
          <w:sz w:val="20"/>
        </w:rPr>
        <w:t>Currently configured value in production, for reference:</w:t>
      </w:r>
    </w:p>
    <w:p>
      <w:pPr>
        <w:spacing w:after="160" w:before="40"/>
        <w:ind w:left="317"/>
      </w:pPr>
      <w:r>
        <w:rPr>
          <w:rFonts w:ascii="Consolas" w:hAnsi="Consolas"/>
          <w:sz w:val="19"/>
        </w:rPr>
        <w:t>ALLOWED_ORIGINS=https://amruni-patient.netlify.app,https://amruni-doctor.netlify.app,https://amruni-admin.netlify.app</w:t>
      </w:r>
    </w:p>
    <w:p>
      <w:pPr>
        <w:spacing w:before="360" w:after="80"/>
      </w:pPr>
      <w:r>
        <w:rPr>
          <w:b/>
          <w:color w:val="8E2D5B"/>
          <w:sz w:val="30"/>
        </w:rPr>
        <w:t>4.  Backend — access control and optional integrations</w:t>
      </w:r>
    </w:p>
    <w:p>
      <w:pPr>
        <w:spacing w:before="240" w:after="60"/>
      </w:pPr>
      <w:r>
        <w:rPr>
          <w:b/>
          <w:color w:val="1A1A1A"/>
          <w:sz w:val="23"/>
        </w:rPr>
        <w:t>Admin access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val="clear" w:color="auto" w:fill="3D2430"/>
          </w:tcPr>
          <w:p>
            <w:r/>
            <w:r>
              <w:rPr>
                <w:b/>
                <w:color w:val="FFFFFF"/>
                <w:sz w:val="19"/>
              </w:rPr>
              <w:t>Variable</w:t>
            </w:r>
          </w:p>
        </w:tc>
        <w:tc>
          <w:tcPr>
            <w:tcW w:type="dxa" w:w="1224"/>
            <w:shd w:val="clear" w:color="auto" w:fill="3D2430"/>
          </w:tcPr>
          <w:p>
            <w:r/>
            <w:r>
              <w:rPr>
                <w:b/>
                <w:color w:val="FFFFFF"/>
                <w:sz w:val="19"/>
              </w:rPr>
              <w:t>Required</w:t>
            </w:r>
          </w:p>
        </w:tc>
        <w:tc>
          <w:tcPr>
            <w:tcW w:type="dxa" w:w="6624"/>
            <w:shd w:val="clear" w:color="auto" w:fill="3D2430"/>
          </w:tcPr>
          <w:p>
            <w:r/>
            <w:r>
              <w:rPr>
                <w:b/>
                <w:color w:val="FFFFFF"/>
                <w:sz w:val="19"/>
              </w:rPr>
              <w:t>What it does</w:t>
            </w:r>
          </w:p>
        </w:tc>
      </w:tr>
      <w:tr>
        <w:tc>
          <w:tcPr>
            <w:tcW w:type="dxa" w:w="2232"/>
          </w:tcPr>
          <w:p>
            <w:pPr>
              <w:spacing w:after="40"/>
            </w:pPr>
            <w:r/>
            <w:r>
              <w:rPr>
                <w:rFonts w:ascii="Consolas" w:hAnsi="Consolas"/>
                <w:b/>
                <w:sz w:val="17"/>
              </w:rPr>
              <w:t>ADMIN_PASSWORD</w:t>
            </w:r>
          </w:p>
        </w:tc>
        <w:tc>
          <w:tcPr>
            <w:tcW w:type="dxa" w:w="1224"/>
          </w:tcPr>
          <w:p>
            <w:pPr>
              <w:spacing w:after="40"/>
            </w:pPr>
            <w:r/>
            <w:r>
              <w:rPr>
                <w:sz w:val="17"/>
              </w:rPr>
              <w:t>Optional</w:t>
            </w:r>
          </w:p>
        </w:tc>
        <w:tc>
          <w:tcPr>
            <w:tcW w:type="dxa" w:w="6624"/>
          </w:tcPr>
          <w:p>
            <w:pPr>
              <w:spacing w:after="40"/>
            </w:pPr>
            <w:r/>
            <w:r>
              <w:rPr>
                <w:sz w:val="17"/>
              </w:rPr>
              <w:t>Password for the /admin portal. Supplied separately. If left unset while ENV=production, password login to the admin portal is disabled entirely — a safe default, since ADMIN_PHONES still provides a route in.</w:t>
            </w:r>
          </w:p>
        </w:tc>
      </w:tr>
      <w:tr>
        <w:tc>
          <w:tcPr>
            <w:tcW w:type="dxa" w:w="2232"/>
            <w:shd w:val="clear" w:color="auto" w:fill="F7F4F6"/>
          </w:tcPr>
          <w:p>
            <w:pPr>
              <w:spacing w:after="40"/>
            </w:pPr>
            <w:r/>
            <w:r>
              <w:rPr>
                <w:rFonts w:ascii="Consolas" w:hAnsi="Consolas"/>
                <w:b/>
                <w:sz w:val="17"/>
              </w:rPr>
              <w:t>ADMIN_PHONES</w:t>
            </w:r>
          </w:p>
        </w:tc>
        <w:tc>
          <w:tcPr>
            <w:tcW w:type="dxa" w:w="1224"/>
            <w:shd w:val="clear" w:color="auto" w:fill="F7F4F6"/>
          </w:tcPr>
          <w:p>
            <w:pPr>
              <w:spacing w:after="40"/>
            </w:pPr>
            <w:r/>
            <w:r>
              <w:rPr>
                <w:sz w:val="17"/>
              </w:rPr>
              <w:t>Optional</w:t>
            </w:r>
          </w:p>
        </w:tc>
        <w:tc>
          <w:tcPr>
            <w:tcW w:type="dxa" w:w="6624"/>
            <w:shd w:val="clear" w:color="auto" w:fill="F7F4F6"/>
          </w:tcPr>
          <w:p>
            <w:pPr>
              <w:spacing w:after="40"/>
            </w:pPr>
            <w:r/>
            <w:r>
              <w:rPr>
                <w:sz w:val="17"/>
              </w:rPr>
              <w:t>Comma-separated phone numbers permitted to manage doctors and appointment slots without the portal password. Example: 9876543210,9876543211</w:t>
            </w:r>
          </w:p>
        </w:tc>
      </w:tr>
    </w:tbl>
    <w:p>
      <w:pPr>
        <w:spacing w:after="40"/>
      </w:pPr>
    </w:p>
    <w:p>
      <w:pPr>
        <w:spacing w:before="240" w:after="60"/>
      </w:pPr>
      <w:r>
        <w:rPr>
          <w:b/>
          <w:color w:val="1A1A1A"/>
          <w:sz w:val="23"/>
        </w:rPr>
        <w:t>Authentication behaviour — currently in demonstration posture</w:t>
      </w:r>
    </w:p>
    <w:p>
      <w:pPr>
        <w:spacing w:after="120" w:before="0"/>
      </w:pPr>
      <w:r>
        <w:rPr>
          <w:b w:val="0"/>
          <w:i w:val="0"/>
          <w:color w:val="1A1A1A"/>
          <w:sz w:val="21"/>
        </w:rPr>
        <w:t>Two variables are presently enabled so the platform can be demonstrated without an SMS gateway. Both weaken authentication and both must be removed before the platform handles real patients.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val="clear" w:color="auto" w:fill="3D2430"/>
          </w:tcPr>
          <w:p>
            <w:r/>
            <w:r>
              <w:rPr>
                <w:b/>
                <w:color w:val="FFFFFF"/>
                <w:sz w:val="19"/>
              </w:rPr>
              <w:t>Variable</w:t>
            </w:r>
          </w:p>
        </w:tc>
        <w:tc>
          <w:tcPr>
            <w:tcW w:type="dxa" w:w="1224"/>
            <w:shd w:val="clear" w:color="auto" w:fill="3D2430"/>
          </w:tcPr>
          <w:p>
            <w:r/>
            <w:r>
              <w:rPr>
                <w:b/>
                <w:color w:val="FFFFFF"/>
                <w:sz w:val="19"/>
              </w:rPr>
              <w:t>Currently</w:t>
            </w:r>
          </w:p>
        </w:tc>
        <w:tc>
          <w:tcPr>
            <w:tcW w:type="dxa" w:w="6624"/>
            <w:shd w:val="clear" w:color="auto" w:fill="3D2430"/>
          </w:tcPr>
          <w:p>
            <w:r/>
            <w:r>
              <w:rPr>
                <w:b/>
                <w:color w:val="FFFFFF"/>
                <w:sz w:val="19"/>
              </w:rPr>
              <w:t>What it does and why it must change</w:t>
            </w:r>
          </w:p>
        </w:tc>
      </w:tr>
      <w:tr>
        <w:tc>
          <w:tcPr>
            <w:tcW w:type="dxa" w:w="2232"/>
          </w:tcPr>
          <w:p>
            <w:pPr>
              <w:spacing w:after="40"/>
            </w:pPr>
            <w:r/>
            <w:r>
              <w:rPr>
                <w:rFonts w:ascii="Consolas" w:hAnsi="Consolas"/>
                <w:b/>
                <w:sz w:val="17"/>
              </w:rPr>
              <w:t>EXPOSE_OTP</w:t>
            </w:r>
          </w:p>
        </w:tc>
        <w:tc>
          <w:tcPr>
            <w:tcW w:type="dxa" w:w="1224"/>
          </w:tcPr>
          <w:p>
            <w:pPr>
              <w:spacing w:after="40"/>
            </w:pPr>
            <w:r/>
            <w:r>
              <w:rPr>
                <w:rFonts w:ascii="Consolas" w:hAnsi="Consolas"/>
                <w:sz w:val="17"/>
              </w:rPr>
              <w:t>true</w:t>
            </w:r>
          </w:p>
        </w:tc>
        <w:tc>
          <w:tcPr>
            <w:tcW w:type="dxa" w:w="6624"/>
          </w:tcPr>
          <w:p>
            <w:pPr>
              <w:spacing w:after="40"/>
            </w:pPr>
            <w:r/>
            <w:r>
              <w:rPr>
                <w:sz w:val="17"/>
              </w:rPr>
              <w:t>Returns the one-time password in the API response body, so any phone number can sign in without SMS delivery. With this on, authentication is effectively open to anyone who knows a phone number. Remove the variable entirely once an SMS provider is connected.</w:t>
            </w:r>
          </w:p>
        </w:tc>
      </w:tr>
      <w:tr>
        <w:tc>
          <w:tcPr>
            <w:tcW w:type="dxa" w:w="2232"/>
            <w:shd w:val="clear" w:color="auto" w:fill="F7F4F6"/>
          </w:tcPr>
          <w:p>
            <w:pPr>
              <w:spacing w:after="40"/>
            </w:pPr>
            <w:r/>
            <w:r>
              <w:rPr>
                <w:rFonts w:ascii="Consolas" w:hAnsi="Consolas"/>
                <w:b/>
                <w:sz w:val="17"/>
              </w:rPr>
              <w:t>DOCTOR_OTP_DISABLED</w:t>
            </w:r>
          </w:p>
        </w:tc>
        <w:tc>
          <w:tcPr>
            <w:tcW w:type="dxa" w:w="1224"/>
            <w:shd w:val="clear" w:color="auto" w:fill="F7F4F6"/>
          </w:tcPr>
          <w:p>
            <w:pPr>
              <w:spacing w:after="40"/>
            </w:pPr>
            <w:r/>
            <w:r>
              <w:rPr>
                <w:rFonts w:ascii="Consolas" w:hAnsi="Consolas"/>
                <w:sz w:val="17"/>
              </w:rPr>
              <w:t>true</w:t>
            </w:r>
          </w:p>
        </w:tc>
        <w:tc>
          <w:tcPr>
            <w:tcW w:type="dxa" w:w="6624"/>
            <w:shd w:val="clear" w:color="auto" w:fill="F7F4F6"/>
          </w:tcPr>
          <w:p>
            <w:pPr>
              <w:spacing w:after="40"/>
            </w:pPr>
            <w:r/>
            <w:r>
              <w:rPr>
                <w:sz w:val="17"/>
              </w:rPr>
              <w:t>Skips OTP verification for practitioner sign-in. The number must still belong to a registered practitioner, and per-patient relationship checks still apply — but the second factor is gone, so anyone knowing a practitioner's phone number can read that practitioner's patient charts. Remove before real clinical use.</w:t>
            </w:r>
          </w:p>
        </w:tc>
      </w:tr>
      <w:tr>
        <w:tc>
          <w:tcPr>
            <w:tcW w:type="dxa" w:w="2232"/>
          </w:tcPr>
          <w:p>
            <w:pPr>
              <w:spacing w:after="40"/>
            </w:pPr>
            <w:r/>
            <w:r>
              <w:rPr>
                <w:rFonts w:ascii="Consolas" w:hAnsi="Consolas"/>
                <w:b/>
                <w:sz w:val="17"/>
              </w:rPr>
              <w:t>TEST_OTP_NUMBERS</w:t>
            </w:r>
          </w:p>
        </w:tc>
        <w:tc>
          <w:tcPr>
            <w:tcW w:type="dxa" w:w="1224"/>
          </w:tcPr>
          <w:p>
            <w:pPr>
              <w:spacing w:after="40"/>
            </w:pPr>
            <w:r/>
            <w:r>
              <w:rPr>
                <w:sz w:val="17"/>
              </w:rPr>
              <w:t>(unset)</w:t>
            </w:r>
          </w:p>
        </w:tc>
        <w:tc>
          <w:tcPr>
            <w:tcW w:type="dxa" w:w="6624"/>
          </w:tcPr>
          <w:p>
            <w:pPr>
              <w:spacing w:after="40"/>
            </w:pPr>
            <w:r/>
            <w:r>
              <w:rPr>
                <w:sz w:val="17"/>
              </w:rPr>
              <w:t>Fixed-OTP numbers for automated testing, as phone:code pairs — for example 9000000001:123456,9000000002:123456. All other numbers continue through the normal random-OTP flow. Safe for a staging environment; remove in production.</w:t>
            </w:r>
          </w:p>
        </w:tc>
      </w:tr>
    </w:tbl>
    <w:p>
      <w:pPr>
        <w:spacing w:after="40"/>
      </w:pPr>
    </w:p>
    <w:p>
      <w:pPr>
        <w:spacing w:before="240" w:after="60"/>
      </w:pPr>
      <w:r>
        <w:rPr>
          <w:b/>
          <w:color w:val="1A1A1A"/>
          <w:sz w:val="23"/>
        </w:rPr>
        <w:t>Optional integrations — all have working fallbacks when unset</w:t>
      </w:r>
    </w:p>
    <w:p>
      <w:pPr>
        <w:spacing w:after="120" w:before="0"/>
      </w:pPr>
      <w:r>
        <w:rPr>
          <w:b w:val="0"/>
          <w:i w:val="0"/>
          <w:color w:val="1A1A1A"/>
          <w:sz w:val="21"/>
        </w:rPr>
        <w:t>None of the following are needed to bring the platform up on AWS. Each has a functioning default, so the service starts and works without any of them.</w:t>
      </w:r>
    </w:p>
    <w:tbl>
      <w:tblPr>
        <w:tblStyle w:val="TableGrid"/>
        <w:tblW w:type="auto" w:w="0"/>
        <w:jc w:val="center"/>
        <w:tblLook w:firstColumn="1" w:firstRow="1" w:lastColumn="0" w:lastRow="0" w:noHBand="0" w:noVBand="1" w:val="04A0"/>
      </w:tblPr>
      <w:tblGrid>
        <w:gridCol w:w="3360"/>
        <w:gridCol w:w="3360"/>
        <w:gridCol w:w="3360"/>
      </w:tblGrid>
      <w:tr>
        <w:tc>
          <w:tcPr>
            <w:tcW w:type="dxa" w:w="2664"/>
            <w:shd w:val="clear" w:color="auto" w:fill="3D2430"/>
          </w:tcPr>
          <w:p>
            <w:r/>
            <w:r>
              <w:rPr>
                <w:b/>
                <w:color w:val="FFFFFF"/>
                <w:sz w:val="19"/>
              </w:rPr>
              <w:t>Variable</w:t>
            </w:r>
          </w:p>
        </w:tc>
        <w:tc>
          <w:tcPr>
            <w:tcW w:type="dxa" w:w="1944"/>
            <w:shd w:val="clear" w:color="auto" w:fill="3D2430"/>
          </w:tcPr>
          <w:p>
            <w:r/>
            <w:r>
              <w:rPr>
                <w:b/>
                <w:color w:val="FFFFFF"/>
                <w:sz w:val="19"/>
              </w:rPr>
              <w:t>Fallback when unset</w:t>
            </w:r>
          </w:p>
        </w:tc>
        <w:tc>
          <w:tcPr>
            <w:tcW w:type="dxa" w:w="4752"/>
            <w:shd w:val="clear" w:color="auto" w:fill="3D2430"/>
          </w:tcPr>
          <w:p>
            <w:r/>
            <w:r>
              <w:rPr>
                <w:b/>
                <w:color w:val="FFFFFF"/>
                <w:sz w:val="19"/>
              </w:rPr>
              <w:t>What it enables</w:t>
            </w:r>
          </w:p>
        </w:tc>
      </w:tr>
      <w:tr>
        <w:tc>
          <w:tcPr>
            <w:tcW w:type="dxa" w:w="2664"/>
          </w:tcPr>
          <w:p>
            <w:pPr>
              <w:spacing w:after="40"/>
            </w:pPr>
            <w:r/>
            <w:r>
              <w:rPr>
                <w:rFonts w:ascii="Consolas" w:hAnsi="Consolas"/>
                <w:b/>
                <w:sz w:val="17"/>
              </w:rPr>
              <w:t>RAZORPAY_KEY_ID</w:t>
            </w:r>
          </w:p>
        </w:tc>
        <w:tc>
          <w:tcPr>
            <w:tcW w:type="dxa" w:w="1944"/>
          </w:tcPr>
          <w:p>
            <w:pPr>
              <w:spacing w:after="40"/>
            </w:pPr>
            <w:r/>
            <w:r>
              <w:rPr>
                <w:sz w:val="17"/>
              </w:rPr>
              <w:t>Mock payment provider</w:t>
              <w:br/>
              <w:t>(instant success)</w:t>
            </w:r>
          </w:p>
        </w:tc>
        <w:tc>
          <w:tcPr>
            <w:tcW w:type="dxa" w:w="4752"/>
          </w:tcPr>
          <w:p>
            <w:pPr>
              <w:spacing w:after="40"/>
            </w:pPr>
            <w:r/>
            <w:r>
              <w:rPr>
                <w:sz w:val="17"/>
              </w:rPr>
              <w:t>Live payment processing for consultations.</w:t>
            </w:r>
          </w:p>
        </w:tc>
      </w:tr>
      <w:tr>
        <w:tc>
          <w:tcPr>
            <w:tcW w:type="dxa" w:w="2664"/>
            <w:shd w:val="clear" w:color="auto" w:fill="F7F4F6"/>
          </w:tcPr>
          <w:p>
            <w:pPr>
              <w:spacing w:after="40"/>
            </w:pPr>
            <w:r/>
            <w:r>
              <w:rPr>
                <w:rFonts w:ascii="Consolas" w:hAnsi="Consolas"/>
                <w:b/>
                <w:sz w:val="17"/>
              </w:rPr>
              <w:t>RAZORPAY_KEY_SECRET</w:t>
            </w:r>
          </w:p>
        </w:tc>
        <w:tc>
          <w:tcPr>
            <w:tcW w:type="dxa" w:w="1944"/>
            <w:shd w:val="clear" w:color="auto" w:fill="F7F4F6"/>
          </w:tcPr>
          <w:p>
            <w:pPr>
              <w:spacing w:after="40"/>
            </w:pPr>
            <w:r/>
            <w:r>
              <w:rPr>
                <w:sz w:val="17"/>
              </w:rPr>
              <w:t>As above</w:t>
            </w:r>
          </w:p>
        </w:tc>
        <w:tc>
          <w:tcPr>
            <w:tcW w:type="dxa" w:w="4752"/>
            <w:shd w:val="clear" w:color="auto" w:fill="F7F4F6"/>
          </w:tcPr>
          <w:p>
            <w:pPr>
              <w:spacing w:after="40"/>
            </w:pPr>
            <w:r/>
            <w:r>
              <w:rPr>
                <w:sz w:val="17"/>
              </w:rPr>
              <w:t>Paired with the key ID; both are required together.</w:t>
            </w:r>
          </w:p>
        </w:tc>
      </w:tr>
      <w:tr>
        <w:tc>
          <w:tcPr>
            <w:tcW w:type="dxa" w:w="2664"/>
          </w:tcPr>
          <w:p>
            <w:pPr>
              <w:spacing w:after="40"/>
            </w:pPr>
            <w:r/>
            <w:r>
              <w:rPr>
                <w:rFonts w:ascii="Consolas" w:hAnsi="Consolas"/>
                <w:b/>
                <w:sz w:val="17"/>
              </w:rPr>
              <w:t>GOOGLE_SERVICE_ACCOUNT_FILE</w:t>
            </w:r>
          </w:p>
        </w:tc>
        <w:tc>
          <w:tcPr>
            <w:tcW w:type="dxa" w:w="1944"/>
          </w:tcPr>
          <w:p>
            <w:pPr>
              <w:spacing w:after="40"/>
            </w:pPr>
            <w:r/>
            <w:r>
              <w:rPr>
                <w:sz w:val="17"/>
              </w:rPr>
              <w:t>Jitsi rooms are generated</w:t>
              <w:br/>
              <w:t>instead of Meet links</w:t>
            </w:r>
          </w:p>
        </w:tc>
        <w:tc>
          <w:tcPr>
            <w:tcW w:type="dxa" w:w="4752"/>
          </w:tcPr>
          <w:p>
            <w:pPr>
              <w:spacing w:after="40"/>
            </w:pPr>
            <w:r/>
            <w:r>
              <w:rPr>
                <w:sz w:val="17"/>
              </w:rPr>
              <w:t>Absolute path to a service-account JSON file, for creating Google Meet consultation links. On AWS, mount this from Secrets Manager rather than baking it into the image.</w:t>
            </w:r>
          </w:p>
        </w:tc>
      </w:tr>
      <w:tr>
        <w:tc>
          <w:tcPr>
            <w:tcW w:type="dxa" w:w="2664"/>
            <w:shd w:val="clear" w:color="auto" w:fill="F7F4F6"/>
          </w:tcPr>
          <w:p>
            <w:pPr>
              <w:spacing w:after="40"/>
            </w:pPr>
            <w:r/>
            <w:r>
              <w:rPr>
                <w:rFonts w:ascii="Consolas" w:hAnsi="Consolas"/>
                <w:b/>
                <w:sz w:val="17"/>
              </w:rPr>
              <w:t>GOOGLE_CALENDAR_ID</w:t>
            </w:r>
          </w:p>
        </w:tc>
        <w:tc>
          <w:tcPr>
            <w:tcW w:type="dxa" w:w="1944"/>
            <w:shd w:val="clear" w:color="auto" w:fill="F7F4F6"/>
          </w:tcPr>
          <w:p>
            <w:pPr>
              <w:spacing w:after="40"/>
            </w:pPr>
            <w:r/>
            <w:r>
              <w:rPr>
                <w:rFonts w:ascii="Consolas" w:hAnsi="Consolas"/>
                <w:sz w:val="17"/>
              </w:rPr>
              <w:t>primary</w:t>
            </w:r>
          </w:p>
        </w:tc>
        <w:tc>
          <w:tcPr>
            <w:tcW w:type="dxa" w:w="4752"/>
            <w:shd w:val="clear" w:color="auto" w:fill="F7F4F6"/>
          </w:tcPr>
          <w:p>
            <w:pPr>
              <w:spacing w:after="40"/>
            </w:pPr>
            <w:r/>
            <w:r>
              <w:rPr>
                <w:sz w:val="17"/>
              </w:rPr>
              <w:t>Calendar the consultation events are written to.</w:t>
            </w:r>
          </w:p>
        </w:tc>
      </w:tr>
      <w:tr>
        <w:tc>
          <w:tcPr>
            <w:tcW w:type="dxa" w:w="2664"/>
          </w:tcPr>
          <w:p>
            <w:pPr>
              <w:spacing w:after="40"/>
            </w:pPr>
            <w:r/>
            <w:r>
              <w:rPr>
                <w:rFonts w:ascii="Consolas" w:hAnsi="Consolas"/>
                <w:b/>
                <w:sz w:val="17"/>
              </w:rPr>
              <w:t>GOOGLE_IMPERSONATE_SUBJECT</w:t>
            </w:r>
          </w:p>
        </w:tc>
        <w:tc>
          <w:tcPr>
            <w:tcW w:type="dxa" w:w="1944"/>
          </w:tcPr>
          <w:p>
            <w:pPr>
              <w:spacing w:after="40"/>
            </w:pPr>
            <w:r/>
            <w:r>
              <w:rPr>
                <w:sz w:val="17"/>
              </w:rPr>
              <w:t>(none)</w:t>
            </w:r>
          </w:p>
        </w:tc>
        <w:tc>
          <w:tcPr>
            <w:tcW w:type="dxa" w:w="4752"/>
          </w:tcPr>
          <w:p>
            <w:pPr>
              <w:spacing w:after="40"/>
            </w:pPr>
            <w:r/>
            <w:r>
              <w:rPr>
                <w:sz w:val="17"/>
              </w:rPr>
              <w:t>Workspace user the service account acts on behalf of.</w:t>
            </w:r>
          </w:p>
        </w:tc>
      </w:tr>
      <w:tr>
        <w:tc>
          <w:tcPr>
            <w:tcW w:type="dxa" w:w="2664"/>
            <w:shd w:val="clear" w:color="auto" w:fill="F7F4F6"/>
          </w:tcPr>
          <w:p>
            <w:pPr>
              <w:spacing w:after="40"/>
            </w:pPr>
            <w:r/>
            <w:r>
              <w:rPr>
                <w:rFonts w:ascii="Consolas" w:hAnsi="Consolas"/>
                <w:b/>
                <w:sz w:val="17"/>
              </w:rPr>
              <w:t>MEET_TIMEZONE</w:t>
            </w:r>
          </w:p>
        </w:tc>
        <w:tc>
          <w:tcPr>
            <w:tcW w:type="dxa" w:w="1944"/>
            <w:shd w:val="clear" w:color="auto" w:fill="F7F4F6"/>
          </w:tcPr>
          <w:p>
            <w:pPr>
              <w:spacing w:after="40"/>
            </w:pPr>
            <w:r/>
            <w:r>
              <w:rPr>
                <w:rFonts w:ascii="Consolas" w:hAnsi="Consolas"/>
                <w:sz w:val="17"/>
              </w:rPr>
              <w:t>Asia/Kolkata</w:t>
            </w:r>
          </w:p>
        </w:tc>
        <w:tc>
          <w:tcPr>
            <w:tcW w:type="dxa" w:w="4752"/>
            <w:shd w:val="clear" w:color="auto" w:fill="F7F4F6"/>
          </w:tcPr>
          <w:p>
            <w:pPr>
              <w:spacing w:after="40"/>
            </w:pPr>
            <w:r/>
            <w:r>
              <w:rPr>
                <w:sz w:val="17"/>
              </w:rPr>
              <w:t>Timezone for created calendar events.</w:t>
            </w:r>
          </w:p>
        </w:tc>
      </w:tr>
      <w:tr>
        <w:tc>
          <w:tcPr>
            <w:tcW w:type="dxa" w:w="2664"/>
          </w:tcPr>
          <w:p>
            <w:pPr>
              <w:spacing w:after="40"/>
            </w:pPr>
            <w:r/>
            <w:r>
              <w:rPr>
                <w:rFonts w:ascii="Consolas" w:hAnsi="Consolas"/>
                <w:b/>
                <w:sz w:val="17"/>
              </w:rPr>
              <w:t>FEDCYCLE_PATH</w:t>
            </w:r>
          </w:p>
        </w:tc>
        <w:tc>
          <w:tcPr>
            <w:tcW w:type="dxa" w:w="1944"/>
          </w:tcPr>
          <w:p>
            <w:pPr>
              <w:spacing w:after="40"/>
            </w:pPr>
            <w:r/>
            <w:r>
              <w:rPr>
                <w:sz w:val="17"/>
              </w:rPr>
              <w:t>Resolved from</w:t>
              <w:br/>
              <w:t>server/datasets/</w:t>
            </w:r>
          </w:p>
        </w:tc>
        <w:tc>
          <w:tcPr>
            <w:tcW w:type="dxa" w:w="4752"/>
          </w:tcPr>
          <w:p>
            <w:pPr>
              <w:spacing w:after="40"/>
            </w:pPr>
            <w:r/>
            <w:r>
              <w:rPr>
                <w:sz w:val="17"/>
              </w:rPr>
              <w:t>Override for the FedCycle cycle-prediction training dataset. Only needed if the datasets are relocated outside the service directory.</w:t>
            </w:r>
          </w:p>
        </w:tc>
      </w:tr>
      <w:tr>
        <w:tc>
          <w:tcPr>
            <w:tcW w:type="dxa" w:w="2664"/>
            <w:shd w:val="clear" w:color="auto" w:fill="F7F4F6"/>
          </w:tcPr>
          <w:p>
            <w:pPr>
              <w:spacing w:after="40"/>
            </w:pPr>
            <w:r/>
            <w:r>
              <w:rPr>
                <w:rFonts w:ascii="Consolas" w:hAnsi="Consolas"/>
                <w:b/>
                <w:sz w:val="17"/>
              </w:rPr>
              <w:t>PCOS_XLSX_PATH</w:t>
            </w:r>
          </w:p>
        </w:tc>
        <w:tc>
          <w:tcPr>
            <w:tcW w:type="dxa" w:w="1944"/>
            <w:shd w:val="clear" w:color="auto" w:fill="F7F4F6"/>
          </w:tcPr>
          <w:p>
            <w:pPr>
              <w:spacing w:after="40"/>
            </w:pPr>
            <w:r/>
            <w:r>
              <w:rPr>
                <w:sz w:val="17"/>
              </w:rPr>
              <w:t>Resolved from</w:t>
              <w:br/>
              <w:t>server/datasets/</w:t>
            </w:r>
          </w:p>
        </w:tc>
        <w:tc>
          <w:tcPr>
            <w:tcW w:type="dxa" w:w="4752"/>
            <w:shd w:val="clear" w:color="auto" w:fill="F7F4F6"/>
          </w:tcPr>
          <w:p>
            <w:pPr>
              <w:spacing w:after="40"/>
            </w:pPr>
            <w:r/>
            <w:r>
              <w:rPr>
                <w:sz w:val="17"/>
              </w:rPr>
              <w:t>Override for the PCOS screening dataset. Same caveat.</w:t>
            </w:r>
          </w:p>
        </w:tc>
      </w:tr>
    </w:tbl>
    <w:p>
      <w:pPr>
        <w:spacing w:after="40"/>
      </w:pPr>
    </w:p>
    <w:p>
      <w:pPr>
        <w:spacing w:before="360" w:after="80"/>
      </w:pPr>
      <w:r>
        <w:rPr>
          <w:b/>
          <w:color w:val="8E2D5B"/>
          <w:sz w:val="30"/>
        </w:rPr>
        <w:t>5.  Frontend — build-time variables</w:t>
      </w:r>
    </w:p>
    <w:p>
      <w:pPr>
        <w:spacing w:after="160" w:before="0"/>
      </w:pPr>
      <w:r>
        <w:rPr>
          <w:b w:val="0"/>
          <w:i w:val="0"/>
          <w:color w:val="1A1A1A"/>
          <w:sz w:val="21"/>
        </w:rPr>
        <w:t>These are consumed by Vite during the build and compiled into the output bundle. On AWS they belong in the build environment (CodeBuild environment variables, or Amplify build settings), not on the web server. Every value here is public.</w:t>
      </w:r>
    </w:p>
    <w:tbl>
      <w:tblPr>
        <w:tblStyle w:val="TableGrid"/>
        <w:tblW w:type="auto" w:w="0"/>
        <w:jc w:val="center"/>
        <w:tblLook w:firstColumn="1" w:firstRow="1" w:lastColumn="0" w:lastRow="0" w:noHBand="0" w:noVBand="1" w:val="04A0"/>
      </w:tblPr>
      <w:tblGrid>
        <w:gridCol w:w="3360"/>
        <w:gridCol w:w="3360"/>
        <w:gridCol w:w="3360"/>
      </w:tblGrid>
      <w:tr>
        <w:tc>
          <w:tcPr>
            <w:tcW w:type="dxa" w:w="2520"/>
            <w:shd w:val="clear" w:color="auto" w:fill="3D2430"/>
          </w:tcPr>
          <w:p>
            <w:r/>
            <w:r>
              <w:rPr>
                <w:b/>
                <w:color w:val="FFFFFF"/>
                <w:sz w:val="19"/>
              </w:rPr>
              <w:t>Variable</w:t>
            </w:r>
          </w:p>
        </w:tc>
        <w:tc>
          <w:tcPr>
            <w:tcW w:type="dxa" w:w="1224"/>
            <w:shd w:val="clear" w:color="auto" w:fill="3D2430"/>
          </w:tcPr>
          <w:p>
            <w:r/>
            <w:r>
              <w:rPr>
                <w:b/>
                <w:color w:val="FFFFFF"/>
                <w:sz w:val="19"/>
              </w:rPr>
              <w:t>Required</w:t>
            </w:r>
          </w:p>
        </w:tc>
        <w:tc>
          <w:tcPr>
            <w:tcW w:type="dxa" w:w="6336"/>
            <w:shd w:val="clear" w:color="auto" w:fill="3D2430"/>
          </w:tcPr>
          <w:p>
            <w:r/>
            <w:r>
              <w:rPr>
                <w:b/>
                <w:color w:val="FFFFFF"/>
                <w:sz w:val="19"/>
              </w:rPr>
              <w:t>What it does</w:t>
            </w:r>
          </w:p>
        </w:tc>
      </w:tr>
      <w:tr>
        <w:tc>
          <w:tcPr>
            <w:tcW w:type="dxa" w:w="2520"/>
          </w:tcPr>
          <w:p>
            <w:pPr>
              <w:spacing w:after="40"/>
            </w:pPr>
            <w:r/>
            <w:r>
              <w:rPr>
                <w:rFonts w:ascii="Consolas" w:hAnsi="Consolas"/>
                <w:b/>
                <w:sz w:val="17"/>
              </w:rPr>
              <w:t>VITE_APP_TARGET</w:t>
            </w:r>
          </w:p>
        </w:tc>
        <w:tc>
          <w:tcPr>
            <w:tcW w:type="dxa" w:w="1224"/>
          </w:tcPr>
          <w:p>
            <w:pPr>
              <w:spacing w:after="40"/>
            </w:pPr>
            <w:r/>
            <w:r>
              <w:rPr>
                <w:sz w:val="17"/>
              </w:rPr>
              <w:t>Yes</w:t>
            </w:r>
          </w:p>
        </w:tc>
        <w:tc>
          <w:tcPr>
            <w:tcW w:type="dxa" w:w="6336"/>
          </w:tcPr>
          <w:p>
            <w:pPr>
              <w:spacing w:after="40"/>
            </w:pPr>
            <w:r/>
            <w:r>
              <w:rPr>
                <w:sz w:val="17"/>
              </w:rPr>
              <w:t>Selects which of the three applications this build produces: patient, doctor or admin. Defaults to patient if unset.</w:t>
            </w:r>
          </w:p>
        </w:tc>
      </w:tr>
      <w:tr>
        <w:tc>
          <w:tcPr>
            <w:tcW w:type="dxa" w:w="2520"/>
            <w:shd w:val="clear" w:color="auto" w:fill="F7F4F6"/>
          </w:tcPr>
          <w:p>
            <w:pPr>
              <w:spacing w:after="40"/>
            </w:pPr>
            <w:r/>
            <w:r>
              <w:rPr>
                <w:rFonts w:ascii="Consolas" w:hAnsi="Consolas"/>
                <w:b/>
                <w:sz w:val="17"/>
              </w:rPr>
              <w:t>VITE_API_URL</w:t>
            </w:r>
          </w:p>
        </w:tc>
        <w:tc>
          <w:tcPr>
            <w:tcW w:type="dxa" w:w="1224"/>
            <w:shd w:val="clear" w:color="auto" w:fill="F7F4F6"/>
          </w:tcPr>
          <w:p>
            <w:pPr>
              <w:spacing w:after="40"/>
            </w:pPr>
            <w:r/>
            <w:r>
              <w:rPr>
                <w:sz w:val="17"/>
              </w:rPr>
              <w:t>Yes</w:t>
            </w:r>
          </w:p>
        </w:tc>
        <w:tc>
          <w:tcPr>
            <w:tcW w:type="dxa" w:w="6336"/>
            <w:shd w:val="clear" w:color="auto" w:fill="F7F4F6"/>
          </w:tcPr>
          <w:p>
            <w:pPr>
              <w:spacing w:after="40"/>
            </w:pPr>
            <w:r/>
            <w:r>
              <w:rPr>
                <w:sz w:val="17"/>
              </w:rPr>
              <w:t>Base URL of the backend API. Note that the path must include the /api suffix — the value is the API root, not the host. If unset it falls back to the relative path /api, which only works when the frontend and backend are served from the same origin.</w:t>
            </w:r>
          </w:p>
        </w:tc>
      </w:tr>
      <w:tr>
        <w:tc>
          <w:tcPr>
            <w:tcW w:type="dxa" w:w="2520"/>
          </w:tcPr>
          <w:p>
            <w:pPr>
              <w:spacing w:after="40"/>
            </w:pPr>
            <w:r/>
            <w:r>
              <w:rPr>
                <w:rFonts w:ascii="Consolas" w:hAnsi="Consolas"/>
                <w:b/>
                <w:sz w:val="17"/>
              </w:rPr>
              <w:t>VITE_PATIENT_URL</w:t>
            </w:r>
          </w:p>
        </w:tc>
        <w:tc>
          <w:tcPr>
            <w:tcW w:type="dxa" w:w="1224"/>
          </w:tcPr>
          <w:p>
            <w:pPr>
              <w:spacing w:after="40"/>
            </w:pPr>
            <w:r/>
            <w:r>
              <w:rPr>
                <w:sz w:val="17"/>
              </w:rPr>
              <w:t>Recommended</w:t>
            </w:r>
          </w:p>
        </w:tc>
        <w:tc>
          <w:tcPr>
            <w:tcW w:type="dxa" w:w="6336"/>
          </w:tcPr>
          <w:p>
            <w:pPr>
              <w:spacing w:after="40"/>
            </w:pPr>
            <w:r/>
            <w:r>
              <w:rPr>
                <w:sz w:val="17"/>
              </w:rPr>
              <w:t>Absolute URL of the patient app, used by the doctor and admin builds to link across. Falls back to an in-app path, which dead-ends on a separate domain.</w:t>
            </w:r>
          </w:p>
        </w:tc>
      </w:tr>
      <w:tr>
        <w:tc>
          <w:tcPr>
            <w:tcW w:type="dxa" w:w="2520"/>
            <w:shd w:val="clear" w:color="auto" w:fill="F7F4F6"/>
          </w:tcPr>
          <w:p>
            <w:pPr>
              <w:spacing w:after="40"/>
            </w:pPr>
            <w:r/>
            <w:r>
              <w:rPr>
                <w:rFonts w:ascii="Consolas" w:hAnsi="Consolas"/>
                <w:b/>
                <w:sz w:val="17"/>
              </w:rPr>
              <w:t>VITE_DOCTOR_URL</w:t>
            </w:r>
          </w:p>
        </w:tc>
        <w:tc>
          <w:tcPr>
            <w:tcW w:type="dxa" w:w="1224"/>
            <w:shd w:val="clear" w:color="auto" w:fill="F7F4F6"/>
          </w:tcPr>
          <w:p>
            <w:pPr>
              <w:spacing w:after="40"/>
            </w:pPr>
            <w:r/>
            <w:r>
              <w:rPr>
                <w:sz w:val="17"/>
              </w:rPr>
              <w:t>Recommended</w:t>
            </w:r>
          </w:p>
        </w:tc>
        <w:tc>
          <w:tcPr>
            <w:tcW w:type="dxa" w:w="6336"/>
            <w:shd w:val="clear" w:color="auto" w:fill="F7F4F6"/>
          </w:tcPr>
          <w:p>
            <w:pPr>
              <w:spacing w:after="40"/>
            </w:pPr>
            <w:r/>
            <w:r>
              <w:rPr>
                <w:sz w:val="17"/>
              </w:rPr>
              <w:t>Absolute URL of the doctor console, used by the patient build. Same fallback behaviour.</w:t>
            </w:r>
          </w:p>
        </w:tc>
      </w:tr>
      <w:tr>
        <w:tc>
          <w:tcPr>
            <w:tcW w:type="dxa" w:w="2520"/>
          </w:tcPr>
          <w:p>
            <w:pPr>
              <w:spacing w:after="40"/>
            </w:pPr>
            <w:r/>
            <w:r>
              <w:rPr>
                <w:rFonts w:ascii="Consolas" w:hAnsi="Consolas"/>
                <w:b/>
                <w:sz w:val="17"/>
              </w:rPr>
              <w:t>VITE_VAPID_PUBLIC_KEY</w:t>
            </w:r>
          </w:p>
        </w:tc>
        <w:tc>
          <w:tcPr>
            <w:tcW w:type="dxa" w:w="1224"/>
          </w:tcPr>
          <w:p>
            <w:pPr>
              <w:spacing w:after="40"/>
            </w:pPr>
            <w:r/>
            <w:r>
              <w:rPr>
                <w:sz w:val="17"/>
              </w:rPr>
              <w:t>No</w:t>
            </w:r>
          </w:p>
        </w:tc>
        <w:tc>
          <w:tcPr>
            <w:tcW w:type="dxa" w:w="6336"/>
          </w:tcPr>
          <w:p>
            <w:pPr>
              <w:spacing w:after="40"/>
            </w:pPr>
            <w:r/>
            <w:r>
              <w:rPr>
                <w:sz w:val="17"/>
              </w:rPr>
              <w:t>Web Push public key. There is currently no server-side push endpoint, so setting this has no effect — the client returns silently. Listed for completeness.</w:t>
            </w:r>
          </w:p>
        </w:tc>
      </w:tr>
      <w:tr>
        <w:tc>
          <w:tcPr>
            <w:tcW w:type="dxa" w:w="2520"/>
            <w:shd w:val="clear" w:color="auto" w:fill="F7F4F6"/>
          </w:tcPr>
          <w:p>
            <w:pPr>
              <w:spacing w:after="40"/>
            </w:pPr>
            <w:r/>
            <w:r>
              <w:rPr>
                <w:rFonts w:ascii="Consolas" w:hAnsi="Consolas"/>
                <w:b/>
                <w:sz w:val="17"/>
              </w:rPr>
              <w:t>VITE_FIREBASE_* (six vars)</w:t>
            </w:r>
          </w:p>
        </w:tc>
        <w:tc>
          <w:tcPr>
            <w:tcW w:type="dxa" w:w="1224"/>
            <w:shd w:val="clear" w:color="auto" w:fill="F7F4F6"/>
          </w:tcPr>
          <w:p>
            <w:pPr>
              <w:spacing w:after="40"/>
            </w:pPr>
            <w:r/>
            <w:r>
              <w:rPr>
                <w:sz w:val="17"/>
              </w:rPr>
              <w:t>No</w:t>
            </w:r>
          </w:p>
        </w:tc>
        <w:tc>
          <w:tcPr>
            <w:tcW w:type="dxa" w:w="6336"/>
            <w:shd w:val="clear" w:color="auto" w:fill="F7F4F6"/>
          </w:tcPr>
          <w:p>
            <w:pPr>
              <w:spacing w:after="40"/>
            </w:pPr>
            <w:r/>
            <w:r>
              <w:rPr>
                <w:sz w:val="17"/>
              </w:rPr>
              <w:t>Present in .env.example but the module that reads them is not imported anywhere in the application. Dead configuration; do not provision Firebase for this.</w:t>
            </w:r>
          </w:p>
        </w:tc>
      </w:tr>
      <w:tr>
        <w:tc>
          <w:tcPr>
            <w:tcW w:type="dxa" w:w="2520"/>
          </w:tcPr>
          <w:p>
            <w:pPr>
              <w:spacing w:after="40"/>
            </w:pPr>
            <w:r/>
            <w:r>
              <w:rPr>
                <w:rFonts w:ascii="Consolas" w:hAnsi="Consolas"/>
                <w:b/>
                <w:sz w:val="17"/>
              </w:rPr>
              <w:t>VITE_API_PROXY</w:t>
            </w:r>
          </w:p>
        </w:tc>
        <w:tc>
          <w:tcPr>
            <w:tcW w:type="dxa" w:w="1224"/>
          </w:tcPr>
          <w:p>
            <w:pPr>
              <w:spacing w:after="40"/>
            </w:pPr>
            <w:r/>
            <w:r>
              <w:rPr>
                <w:sz w:val="17"/>
              </w:rPr>
              <w:t>No</w:t>
            </w:r>
          </w:p>
        </w:tc>
        <w:tc>
          <w:tcPr>
            <w:tcW w:type="dxa" w:w="6336"/>
          </w:tcPr>
          <w:p>
            <w:pPr>
              <w:spacing w:after="40"/>
            </w:pPr>
            <w:r/>
            <w:r>
              <w:rPr>
                <w:sz w:val="17"/>
              </w:rPr>
              <w:t>Local development only — points the Vite dev server proxy at a local backend. Never set in a deployed environment.</w:t>
            </w:r>
          </w:p>
        </w:tc>
      </w:tr>
    </w:tbl>
    <w:p>
      <w:pPr>
        <w:spacing w:after="40"/>
      </w:pPr>
    </w:p>
    <w:p>
      <w:pPr>
        <w:spacing w:before="240" w:after="60"/>
      </w:pPr>
      <w:r>
        <w:rPr>
          <w:b/>
          <w:color w:val="1A1A1A"/>
          <w:sz w:val="23"/>
        </w:rPr>
        <w:t>Values per build target</w:t>
      </w:r>
    </w:p>
    <w:p>
      <w:pPr>
        <w:spacing w:after="120" w:before="0"/>
      </w:pPr>
      <w:r>
        <w:rPr>
          <w:b w:val="0"/>
          <w:i w:val="0"/>
          <w:color w:val="1A1A1A"/>
          <w:sz w:val="20"/>
        </w:rPr>
        <w:t>Three builds, same repository, same commit. Substitute your AWS domains for the hostnames below.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shd w:val="clear" w:color="auto" w:fill="3D2430"/>
          </w:tcPr>
          <w:p>
            <w:r/>
            <w:r>
              <w:rPr>
                <w:b/>
                <w:color w:val="FFFFFF"/>
                <w:sz w:val="19"/>
              </w:rPr>
            </w:r>
          </w:p>
        </w:tc>
        <w:tc>
          <w:tcPr>
            <w:tcW w:type="dxa" w:w="2736"/>
            <w:shd w:val="clear" w:color="auto" w:fill="3D2430"/>
          </w:tcPr>
          <w:p>
            <w:r/>
            <w:r>
              <w:rPr>
                <w:b/>
                <w:color w:val="FFFFFF"/>
                <w:sz w:val="19"/>
              </w:rPr>
              <w:t>Patient app</w:t>
            </w:r>
          </w:p>
        </w:tc>
        <w:tc>
          <w:tcPr>
            <w:tcW w:type="dxa" w:w="2736"/>
            <w:shd w:val="clear" w:color="auto" w:fill="3D2430"/>
          </w:tcPr>
          <w:p>
            <w:r/>
            <w:r>
              <w:rPr>
                <w:b/>
                <w:color w:val="FFFFFF"/>
                <w:sz w:val="19"/>
              </w:rPr>
              <w:t>Doctor console</w:t>
            </w:r>
          </w:p>
        </w:tc>
        <w:tc>
          <w:tcPr>
            <w:tcW w:type="dxa" w:w="2664"/>
            <w:shd w:val="clear" w:color="auto" w:fill="3D2430"/>
          </w:tcPr>
          <w:p>
            <w:r/>
            <w:r>
              <w:rPr>
                <w:b/>
                <w:color w:val="FFFFFF"/>
                <w:sz w:val="19"/>
              </w:rPr>
              <w:t>Admin portal</w:t>
            </w:r>
          </w:p>
        </w:tc>
      </w:tr>
      <w:tr>
        <w:tc>
          <w:tcPr>
            <w:tcW w:type="dxa" w:w="1944"/>
          </w:tcPr>
          <w:p>
            <w:pPr>
              <w:spacing w:after="40"/>
            </w:pPr>
            <w:r/>
            <w:r>
              <w:rPr>
                <w:rFonts w:ascii="Consolas" w:hAnsi="Consolas"/>
                <w:b/>
                <w:sz w:val="17"/>
              </w:rPr>
              <w:t>Build command</w:t>
            </w:r>
          </w:p>
        </w:tc>
        <w:tc>
          <w:tcPr>
            <w:tcW w:type="dxa" w:w="2736"/>
          </w:tcPr>
          <w:p>
            <w:pPr>
              <w:spacing w:after="40"/>
            </w:pPr>
            <w:r/>
            <w:r>
              <w:rPr>
                <w:sz w:val="17"/>
              </w:rPr>
              <w:t>npm run build:patient</w:t>
            </w:r>
          </w:p>
        </w:tc>
        <w:tc>
          <w:tcPr>
            <w:tcW w:type="dxa" w:w="2736"/>
          </w:tcPr>
          <w:p>
            <w:pPr>
              <w:spacing w:after="40"/>
            </w:pPr>
            <w:r/>
            <w:r>
              <w:rPr>
                <w:sz w:val="17"/>
              </w:rPr>
              <w:t>npm run build:doctor</w:t>
            </w:r>
          </w:p>
        </w:tc>
        <w:tc>
          <w:tcPr>
            <w:tcW w:type="dxa" w:w="2664"/>
          </w:tcPr>
          <w:p>
            <w:pPr>
              <w:spacing w:after="40"/>
            </w:pPr>
            <w:r/>
            <w:r>
              <w:rPr>
                <w:sz w:val="17"/>
              </w:rPr>
              <w:t>npm run build:admin</w:t>
            </w:r>
          </w:p>
        </w:tc>
      </w:tr>
      <w:tr>
        <w:tc>
          <w:tcPr>
            <w:tcW w:type="dxa" w:w="1944"/>
            <w:shd w:val="clear" w:color="auto" w:fill="F7F4F6"/>
          </w:tcPr>
          <w:p>
            <w:pPr>
              <w:spacing w:after="40"/>
            </w:pPr>
            <w:r/>
            <w:r>
              <w:rPr>
                <w:rFonts w:ascii="Consolas" w:hAnsi="Consolas"/>
                <w:b/>
                <w:sz w:val="17"/>
              </w:rPr>
              <w:t>Publish directory</w:t>
            </w:r>
          </w:p>
        </w:tc>
        <w:tc>
          <w:tcPr>
            <w:tcW w:type="dxa" w:w="2736"/>
            <w:shd w:val="clear" w:color="auto" w:fill="F7F4F6"/>
          </w:tcPr>
          <w:p>
            <w:pPr>
              <w:spacing w:after="40"/>
            </w:pPr>
            <w:r/>
            <w:r>
              <w:rPr>
                <w:sz w:val="17"/>
              </w:rPr>
              <w:t>dist/patient</w:t>
            </w:r>
          </w:p>
        </w:tc>
        <w:tc>
          <w:tcPr>
            <w:tcW w:type="dxa" w:w="2736"/>
            <w:shd w:val="clear" w:color="auto" w:fill="F7F4F6"/>
          </w:tcPr>
          <w:p>
            <w:pPr>
              <w:spacing w:after="40"/>
            </w:pPr>
            <w:r/>
            <w:r>
              <w:rPr>
                <w:sz w:val="17"/>
              </w:rPr>
              <w:t>dist/doctor</w:t>
            </w:r>
          </w:p>
        </w:tc>
        <w:tc>
          <w:tcPr>
            <w:tcW w:type="dxa" w:w="2664"/>
            <w:shd w:val="clear" w:color="auto" w:fill="F7F4F6"/>
          </w:tcPr>
          <w:p>
            <w:pPr>
              <w:spacing w:after="40"/>
            </w:pPr>
            <w:r/>
            <w:r>
              <w:rPr>
                <w:sz w:val="17"/>
              </w:rPr>
              <w:t>dist/admin</w:t>
            </w:r>
          </w:p>
        </w:tc>
      </w:tr>
      <w:tr>
        <w:tc>
          <w:tcPr>
            <w:tcW w:type="dxa" w:w="1944"/>
          </w:tcPr>
          <w:p>
            <w:pPr>
              <w:spacing w:after="40"/>
            </w:pPr>
            <w:r/>
            <w:r>
              <w:rPr>
                <w:rFonts w:ascii="Consolas" w:hAnsi="Consolas"/>
                <w:b/>
                <w:sz w:val="17"/>
              </w:rPr>
              <w:t>Base directory</w:t>
            </w:r>
          </w:p>
        </w:tc>
        <w:tc>
          <w:tcPr>
            <w:tcW w:type="dxa" w:w="2736"/>
          </w:tcPr>
          <w:p>
            <w:pPr>
              <w:spacing w:after="40"/>
            </w:pPr>
            <w:r/>
            <w:r>
              <w:rPr>
                <w:sz w:val="17"/>
              </w:rPr>
              <w:t>amruni-app</w:t>
            </w:r>
          </w:p>
        </w:tc>
        <w:tc>
          <w:tcPr>
            <w:tcW w:type="dxa" w:w="2736"/>
          </w:tcPr>
          <w:p>
            <w:pPr>
              <w:spacing w:after="40"/>
            </w:pPr>
            <w:r/>
            <w:r>
              <w:rPr>
                <w:sz w:val="17"/>
              </w:rPr>
              <w:t>amruni-app</w:t>
            </w:r>
          </w:p>
        </w:tc>
        <w:tc>
          <w:tcPr>
            <w:tcW w:type="dxa" w:w="2664"/>
          </w:tcPr>
          <w:p>
            <w:pPr>
              <w:spacing w:after="40"/>
            </w:pPr>
            <w:r/>
            <w:r>
              <w:rPr>
                <w:sz w:val="17"/>
              </w:rPr>
              <w:t>amruni-app</w:t>
            </w:r>
          </w:p>
        </w:tc>
      </w:tr>
      <w:tr>
        <w:tc>
          <w:tcPr>
            <w:tcW w:type="dxa" w:w="1944"/>
            <w:shd w:val="clear" w:color="auto" w:fill="F7F4F6"/>
          </w:tcPr>
          <w:p>
            <w:pPr>
              <w:spacing w:after="40"/>
            </w:pPr>
            <w:r/>
            <w:r>
              <w:rPr>
                <w:rFonts w:ascii="Consolas" w:hAnsi="Consolas"/>
                <w:b/>
                <w:sz w:val="17"/>
              </w:rPr>
              <w:t>Node version</w:t>
            </w:r>
          </w:p>
        </w:tc>
        <w:tc>
          <w:tcPr>
            <w:tcW w:type="dxa" w:w="2736"/>
            <w:shd w:val="clear" w:color="auto" w:fill="F7F4F6"/>
          </w:tcPr>
          <w:p>
            <w:pPr>
              <w:spacing w:after="40"/>
            </w:pPr>
            <w:r/>
            <w:r>
              <w:rPr>
                <w:sz w:val="17"/>
              </w:rPr>
              <w:t>20</w:t>
            </w:r>
          </w:p>
        </w:tc>
        <w:tc>
          <w:tcPr>
            <w:tcW w:type="dxa" w:w="2736"/>
            <w:shd w:val="clear" w:color="auto" w:fill="F7F4F6"/>
          </w:tcPr>
          <w:p>
            <w:pPr>
              <w:spacing w:after="40"/>
            </w:pPr>
            <w:r/>
            <w:r>
              <w:rPr>
                <w:sz w:val="17"/>
              </w:rPr>
              <w:t>20</w:t>
            </w:r>
          </w:p>
        </w:tc>
        <w:tc>
          <w:tcPr>
            <w:tcW w:type="dxa" w:w="2664"/>
            <w:shd w:val="clear" w:color="auto" w:fill="F7F4F6"/>
          </w:tcPr>
          <w:p>
            <w:pPr>
              <w:spacing w:after="40"/>
            </w:pPr>
            <w:r/>
            <w:r>
              <w:rPr>
                <w:sz w:val="17"/>
              </w:rPr>
              <w:t>20</w:t>
            </w:r>
          </w:p>
        </w:tc>
      </w:tr>
      <w:tr>
        <w:tc>
          <w:tcPr>
            <w:tcW w:type="dxa" w:w="1944"/>
          </w:tcPr>
          <w:p>
            <w:pPr>
              <w:spacing w:after="40"/>
            </w:pPr>
            <w:r/>
            <w:r>
              <w:rPr>
                <w:rFonts w:ascii="Consolas" w:hAnsi="Consolas"/>
                <w:b/>
                <w:sz w:val="17"/>
              </w:rPr>
              <w:t>VITE_APP_TARGET</w:t>
            </w:r>
          </w:p>
        </w:tc>
        <w:tc>
          <w:tcPr>
            <w:tcW w:type="dxa" w:w="2736"/>
          </w:tcPr>
          <w:p>
            <w:pPr>
              <w:spacing w:after="40"/>
            </w:pPr>
            <w:r/>
            <w:r>
              <w:rPr>
                <w:sz w:val="17"/>
              </w:rPr>
              <w:t>patient</w:t>
            </w:r>
          </w:p>
        </w:tc>
        <w:tc>
          <w:tcPr>
            <w:tcW w:type="dxa" w:w="2736"/>
          </w:tcPr>
          <w:p>
            <w:pPr>
              <w:spacing w:after="40"/>
            </w:pPr>
            <w:r/>
            <w:r>
              <w:rPr>
                <w:sz w:val="17"/>
              </w:rPr>
              <w:t>doctor</w:t>
            </w:r>
          </w:p>
        </w:tc>
        <w:tc>
          <w:tcPr>
            <w:tcW w:type="dxa" w:w="2664"/>
          </w:tcPr>
          <w:p>
            <w:pPr>
              <w:spacing w:after="40"/>
            </w:pPr>
            <w:r/>
            <w:r>
              <w:rPr>
                <w:sz w:val="17"/>
              </w:rPr>
              <w:t>admin</w:t>
            </w:r>
          </w:p>
        </w:tc>
      </w:tr>
      <w:tr>
        <w:tc>
          <w:tcPr>
            <w:tcW w:type="dxa" w:w="1944"/>
            <w:shd w:val="clear" w:color="auto" w:fill="F7F4F6"/>
          </w:tcPr>
          <w:p>
            <w:pPr>
              <w:spacing w:after="40"/>
            </w:pPr>
            <w:r/>
            <w:r>
              <w:rPr>
                <w:rFonts w:ascii="Consolas" w:hAnsi="Consolas"/>
                <w:b/>
                <w:sz w:val="17"/>
              </w:rPr>
              <w:t>VITE_API_URL</w:t>
            </w:r>
          </w:p>
        </w:tc>
        <w:tc>
          <w:tcPr>
            <w:tcW w:type="dxa" w:w="2736"/>
            <w:shd w:val="clear" w:color="auto" w:fill="F7F4F6"/>
          </w:tcPr>
          <w:p>
            <w:pPr>
              <w:spacing w:after="40"/>
            </w:pPr>
            <w:r/>
            <w:r>
              <w:rPr>
                <w:sz w:val="17"/>
              </w:rPr>
              <w:t>https://&lt;api-domain&gt;/api</w:t>
            </w:r>
          </w:p>
        </w:tc>
        <w:tc>
          <w:tcPr>
            <w:tcW w:type="dxa" w:w="2736"/>
            <w:shd w:val="clear" w:color="auto" w:fill="F7F4F6"/>
          </w:tcPr>
          <w:p>
            <w:pPr>
              <w:spacing w:after="40"/>
            </w:pPr>
            <w:r/>
            <w:r>
              <w:rPr>
                <w:sz w:val="17"/>
              </w:rPr>
              <w:t>https://&lt;api-domain&gt;/api</w:t>
            </w:r>
          </w:p>
        </w:tc>
        <w:tc>
          <w:tcPr>
            <w:tcW w:type="dxa" w:w="2664"/>
            <w:shd w:val="clear" w:color="auto" w:fill="F7F4F6"/>
          </w:tcPr>
          <w:p>
            <w:pPr>
              <w:spacing w:after="40"/>
            </w:pPr>
            <w:r/>
            <w:r>
              <w:rPr>
                <w:sz w:val="17"/>
              </w:rPr>
              <w:t>https://&lt;api-domain&gt;/api</w:t>
            </w:r>
          </w:p>
        </w:tc>
      </w:tr>
      <w:tr>
        <w:tc>
          <w:tcPr>
            <w:tcW w:type="dxa" w:w="1944"/>
          </w:tcPr>
          <w:p>
            <w:pPr>
              <w:spacing w:after="40"/>
            </w:pPr>
            <w:r/>
            <w:r>
              <w:rPr>
                <w:rFonts w:ascii="Consolas" w:hAnsi="Consolas"/>
                <w:b/>
                <w:sz w:val="17"/>
              </w:rPr>
              <w:t>VITE_PATIENT_URL</w:t>
            </w:r>
          </w:p>
        </w:tc>
        <w:tc>
          <w:tcPr>
            <w:tcW w:type="dxa" w:w="2736"/>
          </w:tcPr>
          <w:p>
            <w:pPr>
              <w:spacing w:after="40"/>
            </w:pPr>
            <w:r/>
            <w:r>
              <w:rPr>
                <w:sz w:val="17"/>
              </w:rPr>
              <w:t>—</w:t>
            </w:r>
          </w:p>
        </w:tc>
        <w:tc>
          <w:tcPr>
            <w:tcW w:type="dxa" w:w="2736"/>
          </w:tcPr>
          <w:p>
            <w:pPr>
              <w:spacing w:after="40"/>
            </w:pPr>
            <w:r/>
            <w:r>
              <w:rPr>
                <w:sz w:val="17"/>
              </w:rPr>
              <w:t>https://&lt;patient-domain&gt;</w:t>
            </w:r>
          </w:p>
        </w:tc>
        <w:tc>
          <w:tcPr>
            <w:tcW w:type="dxa" w:w="2664"/>
          </w:tcPr>
          <w:p>
            <w:pPr>
              <w:spacing w:after="40"/>
            </w:pPr>
            <w:r/>
            <w:r>
              <w:rPr>
                <w:sz w:val="17"/>
              </w:rPr>
              <w:t>https://&lt;patient-domain&gt;</w:t>
            </w:r>
          </w:p>
        </w:tc>
      </w:tr>
      <w:tr>
        <w:tc>
          <w:tcPr>
            <w:tcW w:type="dxa" w:w="1944"/>
            <w:shd w:val="clear" w:color="auto" w:fill="F7F4F6"/>
          </w:tcPr>
          <w:p>
            <w:pPr>
              <w:spacing w:after="40"/>
            </w:pPr>
            <w:r/>
            <w:r>
              <w:rPr>
                <w:rFonts w:ascii="Consolas" w:hAnsi="Consolas"/>
                <w:b/>
                <w:sz w:val="17"/>
              </w:rPr>
              <w:t>VITE_DOCTOR_URL</w:t>
            </w:r>
          </w:p>
        </w:tc>
        <w:tc>
          <w:tcPr>
            <w:tcW w:type="dxa" w:w="2736"/>
            <w:shd w:val="clear" w:color="auto" w:fill="F7F4F6"/>
          </w:tcPr>
          <w:p>
            <w:pPr>
              <w:spacing w:after="40"/>
            </w:pPr>
            <w:r/>
            <w:r>
              <w:rPr>
                <w:sz w:val="17"/>
              </w:rPr>
              <w:t>https://&lt;doctor-domain&gt;</w:t>
            </w:r>
          </w:p>
        </w:tc>
        <w:tc>
          <w:tcPr>
            <w:tcW w:type="dxa" w:w="2736"/>
            <w:shd w:val="clear" w:color="auto" w:fill="F7F4F6"/>
          </w:tcPr>
          <w:p>
            <w:pPr>
              <w:spacing w:after="40"/>
            </w:pPr>
            <w:r/>
            <w:r>
              <w:rPr>
                <w:sz w:val="17"/>
              </w:rPr>
              <w:t>—</w:t>
            </w:r>
          </w:p>
        </w:tc>
        <w:tc>
          <w:tcPr>
            <w:tcW w:type="dxa" w:w="2664"/>
            <w:shd w:val="clear" w:color="auto" w:fill="F7F4F6"/>
          </w:tcPr>
          <w:p>
            <w:pPr>
              <w:spacing w:after="40"/>
            </w:pPr>
            <w:r/>
            <w:r>
              <w:rPr>
                <w:sz w:val="17"/>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FFF8E7"/>
          </w:tcPr>
          <w:p>
            <w:r/>
            <w:r>
              <w:rPr>
                <w:b/>
                <w:color w:val="8A5A00"/>
                <w:sz w:val="21"/>
              </w:rPr>
              <w:t>All three builds need SPA fallback routing.</w:t>
            </w:r>
          </w:p>
          <w:p>
            <w:pPr>
              <w:spacing w:after="40"/>
            </w:pPr>
            <w:r>
              <w:rPr>
                <w:sz w:val="20"/>
              </w:rPr>
              <w:t>These are single-page applications using client-side routing, so any deep link — a shared care link, a consultation URL — resolves to a path that does not exist as a file. The web layer must rewrite unmatched requests to /index.html with a 200 status. On CloudFront this is a custom error response mapping both 403 and 404 to /index.html with response code 200. Without it, every link into the app except the homepage returns a 404.</w:t>
            </w:r>
          </w:p>
        </w:tc>
      </w:tr>
    </w:tbl>
    <w:p>
      <w:pPr>
        <w:spacing w:after="40"/>
      </w:pPr>
    </w:p>
    <w:p>
      <w:pPr>
        <w:spacing w:before="360" w:after="80"/>
      </w:pPr>
      <w:r>
        <w:rPr>
          <w:b/>
          <w:color w:val="8E2D5B"/>
          <w:sz w:val="30"/>
        </w:rPr>
        <w:t>6.  Mapping to AWS</w:t>
      </w:r>
    </w:p>
    <w:p>
      <w:pPr>
        <w:spacing w:before="240" w:after="60"/>
      </w:pPr>
      <w:r>
        <w:rPr>
          <w:b/>
          <w:color w:val="1A1A1A"/>
          <w:sz w:val="23"/>
        </w:rPr>
        <w:t>Backend API</w:t>
      </w:r>
    </w:p>
    <w:p>
      <w:pPr>
        <w:pStyle w:val="ListBullet"/>
        <w:spacing w:after="60"/>
      </w:pPr>
      <w:r>
        <w:rPr>
          <w:sz w:val="21"/>
        </w:rPr>
        <w:t>The service is a standard container: it reads configuration from the environment, listens on $PORT, and exposes a health check at GET /api/health. It runs unmodified on ECS Fargate, App Runner, Elastic Beanstalk or a plain EC2 instance.</w:t>
      </w:r>
    </w:p>
    <w:p>
      <w:pPr>
        <w:pStyle w:val="ListBullet"/>
        <w:spacing w:after="60"/>
      </w:pPr>
      <w:r>
        <w:rPr>
          <w:sz w:val="21"/>
        </w:rPr>
        <w:t xml:space="preserve">Start command: </w:t>
      </w:r>
    </w:p>
    <w:p>
      <w:pPr>
        <w:spacing w:after="160" w:before="40"/>
        <w:ind w:left="317"/>
      </w:pPr>
      <w:r>
        <w:rPr>
          <w:rFonts w:ascii="Consolas" w:hAnsi="Consolas"/>
          <w:sz w:val="19"/>
        </w:rPr>
        <w:t>python -m app          (working directory: server/, Python 3.12)</w:t>
      </w:r>
    </w:p>
    <w:p>
      <w:pPr>
        <w:pStyle w:val="ListBullet"/>
        <w:spacing w:after="60"/>
      </w:pPr>
      <w:r>
        <w:rPr>
          <w:sz w:val="21"/>
        </w:rPr>
        <w:t>Health check path: /api/health — returns 200 as soon as the app can serve. The response also carries modelsReady, which reports whether background ML warm-up has finished. Warm-up takes up to two minutes on a cold start, so allow a generous health-check grace period.</w:t>
      </w:r>
    </w:p>
    <w:p>
      <w:pPr>
        <w:pStyle w:val="ListBullet"/>
        <w:spacing w:after="60"/>
      </w:pPr>
      <w:r>
        <w:rPr>
          <w:sz w:val="21"/>
        </w:rPr>
        <w:t>Secrets should come from AWS Secrets Manager or SSM Parameter Store, injected through the "secrets" block of the ECS task definition rather than the plaintext "environment" block. This applies to JWT_SECRET, AMRUNI_DATA_KEY and ADMIN_PASSWORD.</w:t>
      </w:r>
    </w:p>
    <w:p>
      <w:pPr>
        <w:spacing w:before="240" w:after="60"/>
      </w:pPr>
      <w:r>
        <w:rPr>
          <w:b/>
          <w:color w:val="1A1A1A"/>
          <w:sz w:val="23"/>
        </w:rPr>
        <w:t>Storage — the one real architectural constraint</w:t>
      </w:r>
    </w:p>
    <w:p>
      <w:pPr>
        <w:spacing w:after="120" w:before="0"/>
      </w:pPr>
      <w:r>
        <w:rPr>
          <w:b w:val="0"/>
          <w:i w:val="0"/>
          <w:color w:val="1A1A1A"/>
          <w:sz w:val="21"/>
        </w:rPr>
        <w:t>The backend uses SQLite, a single file on disk, and caches its trained ML models beside it. That file must live on storage that survives a container restart. This rules out some otherwise obvious choices:</w:t>
      </w:r>
    </w:p>
    <w:tbl>
      <w:tblPr>
        <w:tblStyle w:val="TableGrid"/>
        <w:tblW w:type="auto" w:w="0"/>
        <w:jc w:val="center"/>
        <w:tblLook w:firstColumn="1" w:firstRow="1" w:lastColumn="0" w:lastRow="0" w:noHBand="0" w:noVBand="1" w:val="04A0"/>
      </w:tblPr>
      <w:tblGrid>
        <w:gridCol w:w="3360"/>
        <w:gridCol w:w="3360"/>
        <w:gridCol w:w="3360"/>
      </w:tblGrid>
      <w:tr>
        <w:tc>
          <w:tcPr>
            <w:tcW w:type="dxa" w:w="2664"/>
            <w:shd w:val="clear" w:color="auto" w:fill="3D2430"/>
          </w:tcPr>
          <w:p>
            <w:r/>
            <w:r>
              <w:rPr>
                <w:b/>
                <w:color w:val="FFFFFF"/>
                <w:sz w:val="19"/>
              </w:rPr>
              <w:t>Option</w:t>
            </w:r>
          </w:p>
        </w:tc>
        <w:tc>
          <w:tcPr>
            <w:tcW w:type="dxa" w:w="1584"/>
            <w:shd w:val="clear" w:color="auto" w:fill="3D2430"/>
          </w:tcPr>
          <w:p>
            <w:r/>
            <w:r>
              <w:rPr>
                <w:b/>
                <w:color w:val="FFFFFF"/>
                <w:sz w:val="19"/>
              </w:rPr>
              <w:t>Viable?</w:t>
            </w:r>
          </w:p>
        </w:tc>
        <w:tc>
          <w:tcPr>
            <w:tcW w:type="dxa" w:w="5832"/>
            <w:shd w:val="clear" w:color="auto" w:fill="3D2430"/>
          </w:tcPr>
          <w:p>
            <w:r/>
            <w:r>
              <w:rPr>
                <w:b/>
                <w:color w:val="FFFFFF"/>
                <w:sz w:val="19"/>
              </w:rPr>
              <w:t>Notes</w:t>
            </w:r>
          </w:p>
        </w:tc>
      </w:tr>
      <w:tr>
        <w:tc>
          <w:tcPr>
            <w:tcW w:type="dxa" w:w="2664"/>
          </w:tcPr>
          <w:p>
            <w:pPr>
              <w:spacing w:after="40"/>
            </w:pPr>
            <w:r/>
            <w:r>
              <w:rPr>
                <w:rFonts w:ascii="Consolas" w:hAnsi="Consolas"/>
                <w:b/>
                <w:sz w:val="17"/>
              </w:rPr>
              <w:t>EC2 with an EBS volume</w:t>
            </w:r>
          </w:p>
        </w:tc>
        <w:tc>
          <w:tcPr>
            <w:tcW w:type="dxa" w:w="1584"/>
          </w:tcPr>
          <w:p>
            <w:pPr>
              <w:spacing w:after="40"/>
            </w:pPr>
            <w:r/>
            <w:r>
              <w:rPr>
                <w:sz w:val="17"/>
              </w:rPr>
              <w:t>Yes — simplest</w:t>
            </w:r>
          </w:p>
        </w:tc>
        <w:tc>
          <w:tcPr>
            <w:tcW w:type="dxa" w:w="5832"/>
          </w:tcPr>
          <w:p>
            <w:pPr>
              <w:spacing w:after="40"/>
            </w:pPr>
            <w:r/>
            <w:r>
              <w:rPr>
                <w:sz w:val="17"/>
              </w:rPr>
              <w:t>Mount the volume, point DB_PATH at it. Closest equivalent to the current Railway volume setup.</w:t>
            </w:r>
          </w:p>
        </w:tc>
      </w:tr>
      <w:tr>
        <w:tc>
          <w:tcPr>
            <w:tcW w:type="dxa" w:w="2664"/>
            <w:shd w:val="clear" w:color="auto" w:fill="F7F4F6"/>
          </w:tcPr>
          <w:p>
            <w:pPr>
              <w:spacing w:after="40"/>
            </w:pPr>
            <w:r/>
            <w:r>
              <w:rPr>
                <w:rFonts w:ascii="Consolas" w:hAnsi="Consolas"/>
                <w:b/>
                <w:sz w:val="17"/>
              </w:rPr>
              <w:t>ECS Fargate + EFS mount</w:t>
            </w:r>
          </w:p>
        </w:tc>
        <w:tc>
          <w:tcPr>
            <w:tcW w:type="dxa" w:w="1584"/>
            <w:shd w:val="clear" w:color="auto" w:fill="F7F4F6"/>
          </w:tcPr>
          <w:p>
            <w:pPr>
              <w:spacing w:after="40"/>
            </w:pPr>
            <w:r/>
            <w:r>
              <w:rPr>
                <w:sz w:val="17"/>
              </w:rPr>
              <w:t>Yes</w:t>
            </w:r>
          </w:p>
        </w:tc>
        <w:tc>
          <w:tcPr>
            <w:tcW w:type="dxa" w:w="5832"/>
            <w:shd w:val="clear" w:color="auto" w:fill="F7F4F6"/>
          </w:tcPr>
          <w:p>
            <w:pPr>
              <w:spacing w:after="40"/>
            </w:pPr>
            <w:r/>
            <w:r>
              <w:rPr>
                <w:sz w:val="17"/>
              </w:rPr>
              <w:t>Mount EFS at /data and set DB_PATH=/data/amruni.db. Note that SQLite over NFS requires a single writer — keep the service at one task.</w:t>
            </w:r>
          </w:p>
        </w:tc>
      </w:tr>
      <w:tr>
        <w:tc>
          <w:tcPr>
            <w:tcW w:type="dxa" w:w="2664"/>
          </w:tcPr>
          <w:p>
            <w:pPr>
              <w:spacing w:after="40"/>
            </w:pPr>
            <w:r/>
            <w:r>
              <w:rPr>
                <w:rFonts w:ascii="Consolas" w:hAnsi="Consolas"/>
                <w:b/>
                <w:sz w:val="17"/>
              </w:rPr>
              <w:t>App Runner</w:t>
            </w:r>
          </w:p>
        </w:tc>
        <w:tc>
          <w:tcPr>
            <w:tcW w:type="dxa" w:w="1584"/>
          </w:tcPr>
          <w:p>
            <w:pPr>
              <w:spacing w:after="40"/>
            </w:pPr>
            <w:r/>
            <w:r>
              <w:rPr>
                <w:sz w:val="17"/>
              </w:rPr>
              <w:t>No</w:t>
            </w:r>
          </w:p>
        </w:tc>
        <w:tc>
          <w:tcPr>
            <w:tcW w:type="dxa" w:w="5832"/>
          </w:tcPr>
          <w:p>
            <w:pPr>
              <w:spacing w:after="40"/>
            </w:pPr>
            <w:r/>
            <w:r>
              <w:rPr>
                <w:sz w:val="17"/>
              </w:rPr>
              <w:t>Provides no persistent filesystem. The database would be destroyed on every deployment. Would require migrating to a managed database first.</w:t>
            </w:r>
          </w:p>
        </w:tc>
      </w:tr>
      <w:tr>
        <w:tc>
          <w:tcPr>
            <w:tcW w:type="dxa" w:w="2664"/>
            <w:shd w:val="clear" w:color="auto" w:fill="F7F4F6"/>
          </w:tcPr>
          <w:p>
            <w:pPr>
              <w:spacing w:after="40"/>
            </w:pPr>
            <w:r/>
            <w:r>
              <w:rPr>
                <w:rFonts w:ascii="Consolas" w:hAnsi="Consolas"/>
                <w:b/>
                <w:sz w:val="17"/>
              </w:rPr>
              <w:t>Fargate, ephemeral storage</w:t>
            </w:r>
          </w:p>
        </w:tc>
        <w:tc>
          <w:tcPr>
            <w:tcW w:type="dxa" w:w="1584"/>
            <w:shd w:val="clear" w:color="auto" w:fill="F7F4F6"/>
          </w:tcPr>
          <w:p>
            <w:pPr>
              <w:spacing w:after="40"/>
            </w:pPr>
            <w:r/>
            <w:r>
              <w:rPr>
                <w:sz w:val="17"/>
              </w:rPr>
              <w:t>No</w:t>
            </w:r>
          </w:p>
        </w:tc>
        <w:tc>
          <w:tcPr>
            <w:tcW w:type="dxa" w:w="5832"/>
            <w:shd w:val="clear" w:color="auto" w:fill="F7F4F6"/>
          </w:tcPr>
          <w:p>
            <w:pPr>
              <w:spacing w:after="40"/>
            </w:pPr>
            <w:r/>
            <w:r>
              <w:rPr>
                <w:sz w:val="17"/>
              </w:rPr>
              <w:t>Same problem: storage is wiped whenever the task is replaced.</w:t>
            </w:r>
          </w:p>
        </w:tc>
      </w:tr>
    </w:tbl>
    <w:p>
      <w:pPr>
        <w:spacing w:after="40"/>
      </w:pPr>
    </w:p>
    <w:p>
      <w:pPr>
        <w:spacing w:before="240" w:after="60"/>
      </w:pPr>
      <w:r>
        <w:rPr>
          <w:b/>
          <w:color w:val="1A1A1A"/>
          <w:sz w:val="23"/>
        </w:rPr>
        <w:t>Frontend</w:t>
      </w:r>
    </w:p>
    <w:p>
      <w:pPr>
        <w:pStyle w:val="ListBullet"/>
        <w:spacing w:after="60"/>
      </w:pPr>
      <w:r>
        <w:rPr>
          <w:sz w:val="21"/>
        </w:rPr>
        <w:t>S3 with CloudFront, or AWS Amplify Hosting. Both are static hosting — the build output is plain files.</w:t>
      </w:r>
    </w:p>
    <w:p>
      <w:pPr>
        <w:pStyle w:val="ListBullet"/>
        <w:spacing w:after="60"/>
      </w:pPr>
      <w:r>
        <w:rPr>
          <w:sz w:val="21"/>
        </w:rPr>
        <w:t>Build variables go in the build environment. A rebuild is required after any change to them.</w:t>
      </w:r>
    </w:p>
    <w:p>
      <w:pPr>
        <w:pStyle w:val="ListBullet"/>
        <w:spacing w:after="60"/>
      </w:pPr>
      <w:r>
        <w:rPr>
          <w:sz w:val="21"/>
        </w:rPr>
        <w:t>Configure the SPA fallback described in section 5, and update ALLOWED_ORIGINS on the backend to the new CloudFront or Amplify domains at the same time.</w:t>
      </w:r>
    </w:p>
    <w:p>
      <w:pPr>
        <w:spacing w:before="360" w:after="80"/>
      </w:pPr>
      <w:r>
        <w:rPr>
          <w:b/>
          <w:color w:val="8E2D5B"/>
          <w:sz w:val="30"/>
        </w:rPr>
        <w:t>7.  A note on scaling beyond one instance</w:t>
      </w:r>
    </w:p>
    <w:p>
      <w:pPr>
        <w:spacing w:after="120" w:before="0"/>
      </w:pPr>
      <w:r>
        <w:rPr>
          <w:b w:val="0"/>
          <w:i w:val="0"/>
          <w:color w:val="1A1A1A"/>
          <w:sz w:val="21"/>
        </w:rPr>
        <w:t>The current design is deliberately single-instance: one SQLite file, one writer, WEB_CONCURRENCY=1. That is appropriate for the present stage and keeps operational cost near zero. It does mean the API cannot be horizontally scaled as it stands — running two tasks against one database file will produce write-lock contention and, over NFS, risks corruption.</w:t>
      </w:r>
    </w:p>
    <w:p>
      <w:pPr>
        <w:spacing w:after="120" w:before="0"/>
      </w:pPr>
      <w:r>
        <w:rPr>
          <w:b w:val="0"/>
          <w:i w:val="0"/>
          <w:color w:val="1A1A1A"/>
          <w:sz w:val="21"/>
        </w:rPr>
        <w:t>When scale is needed, the change is to move from SQLite to RDS PostgreSQL. That is a real piece of work, not a configuration switch — the data layer is written against SQLite's driver. It is worth flagging now so the infrastructure decision is made with the constraint visible, rather than discovered when a second instance is added. The encryption layer is unaffected by such a move: fields are encrypted by the application before they reach the database, so they migrate as ciphertext and AMRUNI_DATA_KEY continues to work unchanged.</w:t>
      </w:r>
    </w:p>
    <w:p>
      <w:pPr>
        <w:spacing w:before="360" w:after="80"/>
      </w:pPr>
      <w:r>
        <w:rPr>
          <w:b/>
          <w:color w:val="8E2D5B"/>
          <w:sz w:val="30"/>
        </w:rPr>
        <w:t>8.  Retrieving the current secret values</w:t>
      </w:r>
    </w:p>
    <w:p>
      <w:pPr>
        <w:spacing w:after="80" w:before="0"/>
      </w:pPr>
      <w:r>
        <w:rPr>
          <w:b w:val="0"/>
          <w:i w:val="0"/>
          <w:color w:val="1A1A1A"/>
          <w:sz w:val="21"/>
        </w:rPr>
        <w:t>The three secrets are live in the existing Railway deployment. To read them, from the server/ directory of the repository with the Railway CLI authenticated:</w:t>
      </w:r>
    </w:p>
    <w:p>
      <w:pPr>
        <w:spacing w:after="160" w:before="40"/>
        <w:ind w:left="317"/>
      </w:pPr>
      <w:r>
        <w:rPr>
          <w:rFonts w:ascii="Consolas" w:hAnsi="Consolas"/>
          <w:sz w:val="19"/>
        </w:rPr>
        <w:t>railway variables            # prints all variables with values</w:t>
        <w:br/>
        <w:t>railway variables --json     # machine-readable form</w:t>
      </w:r>
    </w:p>
    <w:p>
      <w:pPr>
        <w:spacing w:after="160" w:before="0"/>
      </w:pPr>
      <w:r>
        <w:rPr>
          <w:b w:val="0"/>
          <w:i w:val="0"/>
          <w:color w:val="1A1A1A"/>
          <w:sz w:val="21"/>
        </w:rPr>
        <w:t>Alternatively they are visible in the Railway dashboard under the amruni-api service, Variables tab. Transfer them into AWS Secrets Manager directly. They should not pass through email, chat, or a shared document.</w:t>
      </w:r>
    </w:p>
    <w:p>
      <w:pPr>
        <w:spacing w:before="240" w:after="60"/>
      </w:pPr>
      <w:r>
        <w:rPr>
          <w:b/>
          <w:color w:val="1A1A1A"/>
          <w:sz w:val="23"/>
        </w:rPr>
        <w:t>Currently set in production (for verification)</w:t>
      </w:r>
    </w:p>
    <w:p>
      <w:pPr>
        <w:spacing w:after="120" w:before="0"/>
      </w:pPr>
      <w:r>
        <w:rPr>
          <w:b w:val="0"/>
          <w:i w:val="0"/>
          <w:color w:val="1A1A1A"/>
          <w:sz w:val="20"/>
        </w:rPr>
        <w:t>For reference, the running deployment has exactly these eight application variables configured. Everything else in this document is either unset or injected by the platform.</w:t>
      </w:r>
    </w:p>
    <w:tbl>
      <w:tblPr>
        <w:tblStyle w:val="TableGrid"/>
        <w:tblW w:type="auto" w:w="0"/>
        <w:jc w:val="center"/>
        <w:tblLook w:firstColumn="1" w:firstRow="1" w:lastColumn="0" w:lastRow="0" w:noHBand="0" w:noVBand="1" w:val="04A0"/>
      </w:tblPr>
      <w:tblGrid>
        <w:gridCol w:w="5040"/>
        <w:gridCol w:w="5040"/>
      </w:tblGrid>
      <w:tr>
        <w:tc>
          <w:tcPr>
            <w:tcW w:type="dxa" w:w="2664"/>
            <w:shd w:val="clear" w:color="auto" w:fill="3D2430"/>
          </w:tcPr>
          <w:p>
            <w:r/>
            <w:r>
              <w:rPr>
                <w:b/>
                <w:color w:val="FFFFFF"/>
                <w:sz w:val="19"/>
              </w:rPr>
              <w:t>Variable</w:t>
            </w:r>
          </w:p>
        </w:tc>
        <w:tc>
          <w:tcPr>
            <w:tcW w:type="dxa" w:w="7416"/>
            <w:shd w:val="clear" w:color="auto" w:fill="3D2430"/>
          </w:tcPr>
          <w:p>
            <w:r/>
            <w:r>
              <w:rPr>
                <w:b/>
                <w:color w:val="FFFFFF"/>
                <w:sz w:val="19"/>
              </w:rPr>
              <w:t>Value</w:t>
            </w:r>
          </w:p>
        </w:tc>
      </w:tr>
      <w:tr>
        <w:tc>
          <w:tcPr>
            <w:tcW w:type="dxa" w:w="2664"/>
          </w:tcPr>
          <w:p>
            <w:pPr>
              <w:spacing w:after="40"/>
            </w:pPr>
            <w:r/>
            <w:r>
              <w:rPr>
                <w:rFonts w:ascii="Consolas" w:hAnsi="Consolas"/>
                <w:b/>
                <w:sz w:val="17"/>
              </w:rPr>
              <w:t>ENV</w:t>
            </w:r>
          </w:p>
        </w:tc>
        <w:tc>
          <w:tcPr>
            <w:tcW w:type="dxa" w:w="7416"/>
          </w:tcPr>
          <w:p>
            <w:pPr>
              <w:spacing w:after="40"/>
            </w:pPr>
            <w:r/>
            <w:r>
              <w:rPr>
                <w:sz w:val="17"/>
              </w:rPr>
              <w:t>production</w:t>
            </w:r>
          </w:p>
        </w:tc>
      </w:tr>
      <w:tr>
        <w:tc>
          <w:tcPr>
            <w:tcW w:type="dxa" w:w="2664"/>
            <w:shd w:val="clear" w:color="auto" w:fill="F7F4F6"/>
          </w:tcPr>
          <w:p>
            <w:pPr>
              <w:spacing w:after="40"/>
            </w:pPr>
            <w:r/>
            <w:r>
              <w:rPr>
                <w:rFonts w:ascii="Consolas" w:hAnsi="Consolas"/>
                <w:b/>
                <w:sz w:val="17"/>
              </w:rPr>
              <w:t>DB_PATH</w:t>
            </w:r>
          </w:p>
        </w:tc>
        <w:tc>
          <w:tcPr>
            <w:tcW w:type="dxa" w:w="7416"/>
            <w:shd w:val="clear" w:color="auto" w:fill="F7F4F6"/>
          </w:tcPr>
          <w:p>
            <w:pPr>
              <w:spacing w:after="40"/>
            </w:pPr>
            <w:r/>
            <w:r>
              <w:rPr>
                <w:sz w:val="17"/>
              </w:rPr>
              <w:t>/data/amruni.db  (Railway volume mounted at /data)</w:t>
            </w:r>
          </w:p>
        </w:tc>
      </w:tr>
      <w:tr>
        <w:tc>
          <w:tcPr>
            <w:tcW w:type="dxa" w:w="2664"/>
          </w:tcPr>
          <w:p>
            <w:pPr>
              <w:spacing w:after="40"/>
            </w:pPr>
            <w:r/>
            <w:r>
              <w:rPr>
                <w:rFonts w:ascii="Consolas" w:hAnsi="Consolas"/>
                <w:b/>
                <w:sz w:val="17"/>
              </w:rPr>
              <w:t>ALLOWED_ORIGINS</w:t>
            </w:r>
          </w:p>
        </w:tc>
        <w:tc>
          <w:tcPr>
            <w:tcW w:type="dxa" w:w="7416"/>
          </w:tcPr>
          <w:p>
            <w:pPr>
              <w:spacing w:after="40"/>
            </w:pPr>
            <w:r/>
            <w:r>
              <w:rPr>
                <w:sz w:val="17"/>
              </w:rPr>
              <w:t>the three Netlify domains listed in section 3</w:t>
            </w:r>
          </w:p>
        </w:tc>
      </w:tr>
      <w:tr>
        <w:tc>
          <w:tcPr>
            <w:tcW w:type="dxa" w:w="2664"/>
            <w:shd w:val="clear" w:color="auto" w:fill="F7F4F6"/>
          </w:tcPr>
          <w:p>
            <w:pPr>
              <w:spacing w:after="40"/>
            </w:pPr>
            <w:r/>
            <w:r>
              <w:rPr>
                <w:rFonts w:ascii="Consolas" w:hAnsi="Consolas"/>
                <w:b/>
                <w:sz w:val="17"/>
              </w:rPr>
              <w:t>EXPOSE_OTP</w:t>
            </w:r>
          </w:p>
        </w:tc>
        <w:tc>
          <w:tcPr>
            <w:tcW w:type="dxa" w:w="7416"/>
            <w:shd w:val="clear" w:color="auto" w:fill="F7F4F6"/>
          </w:tcPr>
          <w:p>
            <w:pPr>
              <w:spacing w:after="40"/>
            </w:pPr>
            <w:r/>
            <w:r>
              <w:rPr>
                <w:sz w:val="17"/>
              </w:rPr>
              <w:t>true  — demonstration posture, see section 4</w:t>
            </w:r>
          </w:p>
        </w:tc>
      </w:tr>
      <w:tr>
        <w:tc>
          <w:tcPr>
            <w:tcW w:type="dxa" w:w="2664"/>
          </w:tcPr>
          <w:p>
            <w:pPr>
              <w:spacing w:after="40"/>
            </w:pPr>
            <w:r/>
            <w:r>
              <w:rPr>
                <w:rFonts w:ascii="Consolas" w:hAnsi="Consolas"/>
                <w:b/>
                <w:sz w:val="17"/>
              </w:rPr>
              <w:t>DOCTOR_OTP_DISABLED</w:t>
            </w:r>
          </w:p>
        </w:tc>
        <w:tc>
          <w:tcPr>
            <w:tcW w:type="dxa" w:w="7416"/>
          </w:tcPr>
          <w:p>
            <w:pPr>
              <w:spacing w:after="40"/>
            </w:pPr>
            <w:r/>
            <w:r>
              <w:rPr>
                <w:sz w:val="17"/>
              </w:rPr>
              <w:t>true  — demonstration posture, see section 4</w:t>
            </w:r>
          </w:p>
        </w:tc>
      </w:tr>
      <w:tr>
        <w:tc>
          <w:tcPr>
            <w:tcW w:type="dxa" w:w="2664"/>
            <w:shd w:val="clear" w:color="auto" w:fill="F7F4F6"/>
          </w:tcPr>
          <w:p>
            <w:pPr>
              <w:spacing w:after="40"/>
            </w:pPr>
            <w:r/>
            <w:r>
              <w:rPr>
                <w:rFonts w:ascii="Consolas" w:hAnsi="Consolas"/>
                <w:b/>
                <w:sz w:val="17"/>
              </w:rPr>
              <w:t>JWT_SECRET</w:t>
            </w:r>
          </w:p>
        </w:tc>
        <w:tc>
          <w:tcPr>
            <w:tcW w:type="dxa" w:w="7416"/>
            <w:shd w:val="clear" w:color="auto" w:fill="F7F4F6"/>
          </w:tcPr>
          <w:p>
            <w:pPr>
              <w:spacing w:after="40"/>
            </w:pPr>
            <w:r/>
            <w:r>
              <w:rPr>
                <w:sz w:val="17"/>
              </w:rPr>
              <w:t>set (64 characters) — supplied separately</w:t>
            </w:r>
          </w:p>
        </w:tc>
      </w:tr>
      <w:tr>
        <w:tc>
          <w:tcPr>
            <w:tcW w:type="dxa" w:w="2664"/>
          </w:tcPr>
          <w:p>
            <w:pPr>
              <w:spacing w:after="40"/>
            </w:pPr>
            <w:r/>
            <w:r>
              <w:rPr>
                <w:rFonts w:ascii="Consolas" w:hAnsi="Consolas"/>
                <w:b/>
                <w:sz w:val="17"/>
              </w:rPr>
              <w:t>AMRUNI_DATA_KEY</w:t>
            </w:r>
          </w:p>
        </w:tc>
        <w:tc>
          <w:tcPr>
            <w:tcW w:type="dxa" w:w="7416"/>
          </w:tcPr>
          <w:p>
            <w:pPr>
              <w:spacing w:after="40"/>
            </w:pPr>
            <w:r/>
            <w:r>
              <w:rPr>
                <w:sz w:val="17"/>
              </w:rPr>
              <w:t>set (44 characters) — supplied separately</w:t>
            </w:r>
          </w:p>
        </w:tc>
      </w:tr>
      <w:tr>
        <w:tc>
          <w:tcPr>
            <w:tcW w:type="dxa" w:w="2664"/>
            <w:shd w:val="clear" w:color="auto" w:fill="F7F4F6"/>
          </w:tcPr>
          <w:p>
            <w:pPr>
              <w:spacing w:after="40"/>
            </w:pPr>
            <w:r/>
            <w:r>
              <w:rPr>
                <w:rFonts w:ascii="Consolas" w:hAnsi="Consolas"/>
                <w:b/>
                <w:sz w:val="17"/>
              </w:rPr>
              <w:t>ADMIN_PASSWORD</w:t>
            </w:r>
          </w:p>
        </w:tc>
        <w:tc>
          <w:tcPr>
            <w:tcW w:type="dxa" w:w="7416"/>
            <w:shd w:val="clear" w:color="auto" w:fill="F7F4F6"/>
          </w:tcPr>
          <w:p>
            <w:pPr>
              <w:spacing w:after="40"/>
            </w:pPr>
            <w:r/>
            <w:r>
              <w:rPr>
                <w:sz w:val="17"/>
              </w:rPr>
              <w:t>set (6 characters) — supplied separately; see note below</w:t>
            </w:r>
          </w:p>
        </w:tc>
      </w:tr>
    </w:tbl>
    <w:p>
      <w:pPr>
        <w:spacing w:after="40"/>
      </w:pPr>
    </w:p>
    <w:p>
      <w:pPr>
        <w:spacing w:before="360" w:after="80"/>
      </w:pPr>
      <w:r>
        <w:rPr>
          <w:b/>
          <w:color w:val="8E2D5B"/>
          <w:sz w:val="30"/>
        </w:rPr>
        <w:t>9.  Pre-launch checklist</w:t>
      </w:r>
    </w:p>
    <w:p>
      <w:pPr>
        <w:spacing w:after="160" w:before="0"/>
      </w:pPr>
      <w:r>
        <w:rPr>
          <w:b w:val="0"/>
          <w:i w:val="0"/>
          <w:color w:val="1A1A1A"/>
          <w:sz w:val="21"/>
        </w:rPr>
        <w:t>Configuration items that are correct for a demonstration but must change before the platform holds real patient data.</w:t>
      </w:r>
    </w:p>
    <w:tbl>
      <w:tblPr>
        <w:tblStyle w:val="TableGrid"/>
        <w:tblW w:type="auto" w:w="0"/>
        <w:jc w:val="center"/>
        <w:tblLook w:firstColumn="1" w:firstRow="1" w:lastColumn="0" w:lastRow="0" w:noHBand="0" w:noVBand="1" w:val="04A0"/>
      </w:tblPr>
      <w:tblGrid>
        <w:gridCol w:w="3360"/>
        <w:gridCol w:w="3360"/>
        <w:gridCol w:w="3360"/>
      </w:tblGrid>
      <w:tr>
        <w:tc>
          <w:tcPr>
            <w:tcW w:type="dxa" w:w="504"/>
            <w:shd w:val="clear" w:color="auto" w:fill="3D2430"/>
          </w:tcPr>
          <w:p>
            <w:r/>
            <w:r>
              <w:rPr>
                <w:b/>
                <w:color w:val="FFFFFF"/>
                <w:sz w:val="19"/>
              </w:rPr>
              <w:t>#</w:t>
            </w:r>
          </w:p>
        </w:tc>
        <w:tc>
          <w:tcPr>
            <w:tcW w:type="dxa" w:w="2664"/>
            <w:shd w:val="clear" w:color="auto" w:fill="3D2430"/>
          </w:tcPr>
          <w:p>
            <w:r/>
            <w:r>
              <w:rPr>
                <w:b/>
                <w:color w:val="FFFFFF"/>
                <w:sz w:val="19"/>
              </w:rPr>
              <w:t>Item</w:t>
            </w:r>
          </w:p>
        </w:tc>
        <w:tc>
          <w:tcPr>
            <w:tcW w:type="dxa" w:w="6912"/>
            <w:shd w:val="clear" w:color="auto" w:fill="3D2430"/>
          </w:tcPr>
          <w:p>
            <w:r/>
            <w:r>
              <w:rPr>
                <w:b/>
                <w:color w:val="FFFFFF"/>
                <w:sz w:val="19"/>
              </w:rPr>
              <w:t>Action</w:t>
            </w:r>
          </w:p>
        </w:tc>
      </w:tr>
      <w:tr>
        <w:tc>
          <w:tcPr>
            <w:tcW w:type="dxa" w:w="504"/>
          </w:tcPr>
          <w:p>
            <w:pPr>
              <w:spacing w:after="40"/>
            </w:pPr>
            <w:r/>
            <w:r>
              <w:rPr>
                <w:rFonts w:ascii="Consolas" w:hAnsi="Consolas"/>
                <w:b/>
                <w:sz w:val="17"/>
              </w:rPr>
              <w:t>1</w:t>
            </w:r>
          </w:p>
        </w:tc>
        <w:tc>
          <w:tcPr>
            <w:tcW w:type="dxa" w:w="2664"/>
          </w:tcPr>
          <w:p>
            <w:pPr>
              <w:spacing w:after="40"/>
            </w:pPr>
            <w:r/>
            <w:r>
              <w:rPr>
                <w:sz w:val="17"/>
              </w:rPr>
              <w:t>AMRUNI_DATA_KEY carried across</w:t>
            </w:r>
          </w:p>
        </w:tc>
        <w:tc>
          <w:tcPr>
            <w:tcW w:type="dxa" w:w="6912"/>
          </w:tcPr>
          <w:p>
            <w:pPr>
              <w:spacing w:after="40"/>
            </w:pPr>
            <w:r/>
            <w:r>
              <w:rPr>
                <w:sz w:val="17"/>
              </w:rPr>
              <w:t>Copy the exact existing value. Verify a patient record decrypts on AWS before decommissioning the old host. Non-recoverable if wrong.</w:t>
            </w:r>
          </w:p>
        </w:tc>
      </w:tr>
      <w:tr>
        <w:tc>
          <w:tcPr>
            <w:tcW w:type="dxa" w:w="504"/>
            <w:shd w:val="clear" w:color="auto" w:fill="F7F4F6"/>
          </w:tcPr>
          <w:p>
            <w:pPr>
              <w:spacing w:after="40"/>
            </w:pPr>
            <w:r/>
            <w:r>
              <w:rPr>
                <w:rFonts w:ascii="Consolas" w:hAnsi="Consolas"/>
                <w:b/>
                <w:sz w:val="17"/>
              </w:rPr>
              <w:t>2</w:t>
            </w:r>
          </w:p>
        </w:tc>
        <w:tc>
          <w:tcPr>
            <w:tcW w:type="dxa" w:w="2664"/>
            <w:shd w:val="clear" w:color="auto" w:fill="F7F4F6"/>
          </w:tcPr>
          <w:p>
            <w:pPr>
              <w:spacing w:after="40"/>
            </w:pPr>
            <w:r/>
            <w:r>
              <w:rPr>
                <w:sz w:val="17"/>
              </w:rPr>
              <w:t>EXPOSE_OTP removed</w:t>
            </w:r>
          </w:p>
        </w:tc>
        <w:tc>
          <w:tcPr>
            <w:tcW w:type="dxa" w:w="6912"/>
            <w:shd w:val="clear" w:color="auto" w:fill="F7F4F6"/>
          </w:tcPr>
          <w:p>
            <w:pPr>
              <w:spacing w:after="40"/>
            </w:pPr>
            <w:r/>
            <w:r>
              <w:rPr>
                <w:sz w:val="17"/>
              </w:rPr>
              <w:t>Currently true, meaning anyone can sign in as any phone number. Connect an SMS provider, then unset.</w:t>
            </w:r>
          </w:p>
        </w:tc>
      </w:tr>
      <w:tr>
        <w:tc>
          <w:tcPr>
            <w:tcW w:type="dxa" w:w="504"/>
          </w:tcPr>
          <w:p>
            <w:pPr>
              <w:spacing w:after="40"/>
            </w:pPr>
            <w:r/>
            <w:r>
              <w:rPr>
                <w:rFonts w:ascii="Consolas" w:hAnsi="Consolas"/>
                <w:b/>
                <w:sz w:val="17"/>
              </w:rPr>
              <w:t>3</w:t>
            </w:r>
          </w:p>
        </w:tc>
        <w:tc>
          <w:tcPr>
            <w:tcW w:type="dxa" w:w="2664"/>
          </w:tcPr>
          <w:p>
            <w:pPr>
              <w:spacing w:after="40"/>
            </w:pPr>
            <w:r/>
            <w:r>
              <w:rPr>
                <w:sz w:val="17"/>
              </w:rPr>
              <w:t>DOCTOR_OTP_DISABLED removed</w:t>
            </w:r>
          </w:p>
        </w:tc>
        <w:tc>
          <w:tcPr>
            <w:tcW w:type="dxa" w:w="6912"/>
          </w:tcPr>
          <w:p>
            <w:pPr>
              <w:spacing w:after="40"/>
            </w:pPr>
            <w:r/>
            <w:r>
              <w:rPr>
                <w:sz w:val="17"/>
              </w:rPr>
              <w:t>Currently true, removing the practitioner second factor. Unset once SMS delivery works.</w:t>
            </w:r>
          </w:p>
        </w:tc>
      </w:tr>
      <w:tr>
        <w:tc>
          <w:tcPr>
            <w:tcW w:type="dxa" w:w="504"/>
            <w:shd w:val="clear" w:color="auto" w:fill="F7F4F6"/>
          </w:tcPr>
          <w:p>
            <w:pPr>
              <w:spacing w:after="40"/>
            </w:pPr>
            <w:r/>
            <w:r>
              <w:rPr>
                <w:rFonts w:ascii="Consolas" w:hAnsi="Consolas"/>
                <w:b/>
                <w:sz w:val="17"/>
              </w:rPr>
              <w:t>4</w:t>
            </w:r>
          </w:p>
        </w:tc>
        <w:tc>
          <w:tcPr>
            <w:tcW w:type="dxa" w:w="2664"/>
            <w:shd w:val="clear" w:color="auto" w:fill="F7F4F6"/>
          </w:tcPr>
          <w:p>
            <w:pPr>
              <w:spacing w:after="40"/>
            </w:pPr>
            <w:r/>
            <w:r>
              <w:rPr>
                <w:sz w:val="17"/>
              </w:rPr>
              <w:t>ADMIN_PASSWORD strengthened</w:t>
            </w:r>
          </w:p>
        </w:tc>
        <w:tc>
          <w:tcPr>
            <w:tcW w:type="dxa" w:w="6912"/>
            <w:shd w:val="clear" w:color="auto" w:fill="F7F4F6"/>
          </w:tcPr>
          <w:p>
            <w:pPr>
              <w:spacing w:after="40"/>
            </w:pPr>
            <w:r/>
            <w:r>
              <w:rPr>
                <w:sz w:val="17"/>
              </w:rPr>
              <w:t>The current value is six characters. Replace with a long random password, or unset it and rely on ADMIN_PHONES.</w:t>
            </w:r>
          </w:p>
        </w:tc>
      </w:tr>
      <w:tr>
        <w:tc>
          <w:tcPr>
            <w:tcW w:type="dxa" w:w="504"/>
          </w:tcPr>
          <w:p>
            <w:pPr>
              <w:spacing w:after="40"/>
            </w:pPr>
            <w:r/>
            <w:r>
              <w:rPr>
                <w:rFonts w:ascii="Consolas" w:hAnsi="Consolas"/>
                <w:b/>
                <w:sz w:val="17"/>
              </w:rPr>
              <w:t>5</w:t>
            </w:r>
          </w:p>
        </w:tc>
        <w:tc>
          <w:tcPr>
            <w:tcW w:type="dxa" w:w="2664"/>
          </w:tcPr>
          <w:p>
            <w:pPr>
              <w:spacing w:after="40"/>
            </w:pPr>
            <w:r/>
            <w:r>
              <w:rPr>
                <w:sz w:val="17"/>
              </w:rPr>
              <w:t>ALLOWED_ORIGINS updated</w:t>
            </w:r>
          </w:p>
        </w:tc>
        <w:tc>
          <w:tcPr>
            <w:tcW w:type="dxa" w:w="6912"/>
          </w:tcPr>
          <w:p>
            <w:pPr>
              <w:spacing w:after="40"/>
            </w:pPr>
            <w:r/>
            <w:r>
              <w:rPr>
                <w:sz w:val="17"/>
              </w:rPr>
              <w:t>Point at the new AWS frontend domains, or the browser will block the web apps after the move.</w:t>
            </w:r>
          </w:p>
        </w:tc>
      </w:tr>
      <w:tr>
        <w:tc>
          <w:tcPr>
            <w:tcW w:type="dxa" w:w="504"/>
            <w:shd w:val="clear" w:color="auto" w:fill="F7F4F6"/>
          </w:tcPr>
          <w:p>
            <w:pPr>
              <w:spacing w:after="40"/>
            </w:pPr>
            <w:r/>
            <w:r>
              <w:rPr>
                <w:rFonts w:ascii="Consolas" w:hAnsi="Consolas"/>
                <w:b/>
                <w:sz w:val="17"/>
              </w:rPr>
              <w:t>6</w:t>
            </w:r>
          </w:p>
        </w:tc>
        <w:tc>
          <w:tcPr>
            <w:tcW w:type="dxa" w:w="2664"/>
            <w:shd w:val="clear" w:color="auto" w:fill="F7F4F6"/>
          </w:tcPr>
          <w:p>
            <w:pPr>
              <w:spacing w:after="40"/>
            </w:pPr>
            <w:r/>
            <w:r>
              <w:rPr>
                <w:sz w:val="17"/>
              </w:rPr>
              <w:t>DB_PATH on persistent storage</w:t>
            </w:r>
          </w:p>
        </w:tc>
        <w:tc>
          <w:tcPr>
            <w:tcW w:type="dxa" w:w="6912"/>
            <w:shd w:val="clear" w:color="auto" w:fill="F7F4F6"/>
          </w:tcPr>
          <w:p>
            <w:pPr>
              <w:spacing w:after="40"/>
            </w:pPr>
            <w:r/>
            <w:r>
              <w:rPr>
                <w:sz w:val="17"/>
              </w:rPr>
              <w:t>EBS or EFS. Confirm the database survives a deliberate task restart before going live.</w:t>
            </w:r>
          </w:p>
        </w:tc>
      </w:tr>
      <w:tr>
        <w:tc>
          <w:tcPr>
            <w:tcW w:type="dxa" w:w="504"/>
          </w:tcPr>
          <w:p>
            <w:pPr>
              <w:spacing w:after="40"/>
            </w:pPr>
            <w:r/>
            <w:r>
              <w:rPr>
                <w:rFonts w:ascii="Consolas" w:hAnsi="Consolas"/>
                <w:b/>
                <w:sz w:val="17"/>
              </w:rPr>
              <w:t>7</w:t>
            </w:r>
          </w:p>
        </w:tc>
        <w:tc>
          <w:tcPr>
            <w:tcW w:type="dxa" w:w="2664"/>
          </w:tcPr>
          <w:p>
            <w:pPr>
              <w:spacing w:after="40"/>
            </w:pPr>
            <w:r/>
            <w:r>
              <w:rPr>
                <w:sz w:val="17"/>
              </w:rPr>
              <w:t>Database backups configured</w:t>
            </w:r>
          </w:p>
        </w:tc>
        <w:tc>
          <w:tcPr>
            <w:tcW w:type="dxa" w:w="6912"/>
          </w:tcPr>
          <w:p>
            <w:pPr>
              <w:spacing w:after="40"/>
            </w:pPr>
            <w:r/>
            <w:r>
              <w:rPr>
                <w:sz w:val="17"/>
              </w:rPr>
              <w:t>A single SQLite file with no replica. Schedule an automated copy to S3 with versioning. Note that backups are ciphertext and are worthless without AMRUNI_DATA_KEY — store the key separately, and make sure it is genuinely recoverable.</w:t>
            </w:r>
          </w:p>
        </w:tc>
      </w:tr>
      <w:tr>
        <w:tc>
          <w:tcPr>
            <w:tcW w:type="dxa" w:w="504"/>
            <w:shd w:val="clear" w:color="auto" w:fill="F7F4F6"/>
          </w:tcPr>
          <w:p>
            <w:pPr>
              <w:spacing w:after="40"/>
            </w:pPr>
            <w:r/>
            <w:r>
              <w:rPr>
                <w:rFonts w:ascii="Consolas" w:hAnsi="Consolas"/>
                <w:b/>
                <w:sz w:val="17"/>
              </w:rPr>
              <w:t>8</w:t>
            </w:r>
          </w:p>
        </w:tc>
        <w:tc>
          <w:tcPr>
            <w:tcW w:type="dxa" w:w="2664"/>
            <w:shd w:val="clear" w:color="auto" w:fill="F7F4F6"/>
          </w:tcPr>
          <w:p>
            <w:pPr>
              <w:spacing w:after="40"/>
            </w:pPr>
            <w:r/>
            <w:r>
              <w:rPr>
                <w:sz w:val="17"/>
              </w:rPr>
              <w:t>HTTPS end to end</w:t>
            </w:r>
          </w:p>
        </w:tc>
        <w:tc>
          <w:tcPr>
            <w:tcW w:type="dxa" w:w="6912"/>
            <w:shd w:val="clear" w:color="auto" w:fill="F7F4F6"/>
          </w:tcPr>
          <w:p>
            <w:pPr>
              <w:spacing w:after="40"/>
            </w:pPr>
            <w:r/>
            <w:r>
              <w:rPr>
                <w:sz w:val="17"/>
              </w:rPr>
              <w:t>Geolocation, service workers, notifications and clipboard access all fail silently on an insecure origin. Several features will appear broken rather than blocked over plain HTTP.</w:t>
            </w:r>
          </w:p>
        </w:tc>
      </w:tr>
      <w:tr>
        <w:tc>
          <w:tcPr>
            <w:tcW w:type="dxa" w:w="504"/>
          </w:tcPr>
          <w:p>
            <w:pPr>
              <w:spacing w:after="40"/>
            </w:pPr>
            <w:r/>
            <w:r>
              <w:rPr>
                <w:rFonts w:ascii="Consolas" w:hAnsi="Consolas"/>
                <w:b/>
                <w:sz w:val="17"/>
              </w:rPr>
              <w:t>9</w:t>
            </w:r>
          </w:p>
        </w:tc>
        <w:tc>
          <w:tcPr>
            <w:tcW w:type="dxa" w:w="2664"/>
          </w:tcPr>
          <w:p>
            <w:pPr>
              <w:spacing w:after="40"/>
            </w:pPr>
            <w:r/>
            <w:r>
              <w:rPr>
                <w:sz w:val="17"/>
              </w:rPr>
              <w:t>WEB_CONCURRENCY left at 1</w:t>
            </w:r>
          </w:p>
        </w:tc>
        <w:tc>
          <w:tcPr>
            <w:tcW w:type="dxa" w:w="6912"/>
          </w:tcPr>
          <w:p>
            <w:pPr>
              <w:spacing w:after="40"/>
            </w:pPr>
            <w:r/>
            <w:r>
              <w:rPr>
                <w:sz w:val="17"/>
              </w:rPr>
              <w:t>And a single task or instance, until the move to PostgreSQL.</w:t>
            </w:r>
          </w:p>
        </w:tc>
      </w:tr>
    </w:tbl>
    <w:p>
      <w:pPr>
        <w:spacing w:after="40"/>
      </w:pPr>
    </w:p>
    <w:p/>
    <w:p>
      <w:r>
        <w:br w:type="page"/>
      </w:r>
    </w:p>
    <w:p>
      <w:pPr>
        <w:spacing w:before="360" w:after="80"/>
      </w:pPr>
      <w:r>
        <w:rPr>
          <w:b/>
          <w:color w:val="8E2D5B"/>
          <w:sz w:val="30"/>
        </w:rPr>
        <w:t>10.  Docker</w:t>
      </w:r>
    </w:p>
    <w:p>
      <w:pPr>
        <w:spacing w:after="160" w:before="0"/>
      </w:pPr>
      <w:r>
        <w:rPr>
          <w:b w:val="0"/>
          <w:i w:val="0"/>
          <w:color w:val="1A1A1A"/>
          <w:sz w:val="21"/>
        </w:rPr>
        <w:t>The backend now ships as a container. The image is defined in server/Dockerfile and the build context is the server/ directory, not the repository root.</w:t>
      </w:r>
    </w:p>
    <w:p>
      <w:pPr>
        <w:spacing w:after="160"/>
        <w:ind w:left="317"/>
      </w:pPr>
      <w:r>
        <w:rPr>
          <w:rFonts w:ascii="Consolas" w:hAnsi="Consolas"/>
          <w:sz w:val="19"/>
        </w:rPr>
        <w:t>docker build -t amruni-api ./server</w:t>
        <w:br/>
        <w:t>docker compose up --build      # local run, http://localhost:8000/api/health</w:t>
      </w:r>
    </w:p>
    <w:p>
      <w:pPr>
        <w:spacing w:after="160" w:before="0"/>
      </w:pPr>
      <w:r>
        <w:rPr>
          <w:b w:val="0"/>
          <w:i w:val="0"/>
          <w:color w:val="1A1A1A"/>
          <w:sz w:val="21"/>
        </w:rPr>
        <w:t>A local docker-compose.yml at the repository root runs the same production image against a named volume, so what is tested locally is what deploys. It deliberately does not set ENV=production, which lets the development key fallback supply an encryption key and keeps the local stack free of secrets.</w:t>
      </w:r>
    </w:p>
    <w:p>
      <w:pPr>
        <w:spacing w:before="240" w:after="60"/>
      </w:pPr>
      <w:r>
        <w:rPr>
          <w:b/>
          <w:color w:val="1A1A1A"/>
          <w:sz w:val="23"/>
        </w:rPr>
        <w:t>What the image contains</w:t>
      </w:r>
    </w:p>
    <w:tbl>
      <w:tblPr>
        <w:tblStyle w:val="TableGrid"/>
        <w:tblW w:type="auto" w:w="0"/>
        <w:tblLook w:firstColumn="1" w:firstRow="1" w:lastColumn="0" w:lastRow="0" w:noHBand="0" w:noVBand="1" w:val="04A0"/>
      </w:tblPr>
      <w:tblGrid>
        <w:gridCol w:w="5040"/>
        <w:gridCol w:w="5040"/>
      </w:tblGrid>
      <w:tr>
        <w:tc>
          <w:tcPr>
            <w:tcW w:type="dxa" w:w="2160"/>
            <w:shd w:val="clear" w:color="auto" w:fill="3D2430"/>
          </w:tcPr>
          <w:p>
            <w:r/>
            <w:r>
              <w:rPr>
                <w:b/>
                <w:color w:val="FFFFFF"/>
                <w:sz w:val="19"/>
              </w:rPr>
              <w:t>Element</w:t>
            </w:r>
          </w:p>
        </w:tc>
        <w:tc>
          <w:tcPr>
            <w:tcW w:type="dxa" w:w="7920"/>
            <w:shd w:val="clear" w:color="auto" w:fill="3D2430"/>
          </w:tcPr>
          <w:p>
            <w:r/>
            <w:r>
              <w:rPr>
                <w:b/>
                <w:color w:val="FFFFFF"/>
                <w:sz w:val="19"/>
              </w:rPr>
              <w:t>Detail</w:t>
            </w:r>
          </w:p>
        </w:tc>
      </w:tr>
      <w:tr>
        <w:tc>
          <w:tcPr>
            <w:tcW w:type="dxa" w:w="2160"/>
          </w:tcPr>
          <w:p>
            <w:pPr>
              <w:spacing w:after="40"/>
            </w:pPr>
            <w:r/>
            <w:r>
              <w:rPr>
                <w:rFonts w:ascii="Consolas" w:hAnsi="Consolas"/>
                <w:b/>
                <w:sz w:val="17"/>
              </w:rPr>
              <w:t>Base</w:t>
            </w:r>
          </w:p>
        </w:tc>
        <w:tc>
          <w:tcPr>
            <w:tcW w:type="dxa" w:w="7920"/>
          </w:tcPr>
          <w:p>
            <w:pPr>
              <w:spacing w:after="40"/>
            </w:pPr>
            <w:r/>
            <w:r>
              <w:rPr>
                <w:sz w:val="17"/>
              </w:rPr>
              <w:t>python:3.12-slim, two stages — a builder carrying a C toolchain, and a runtime that keeps only the compiled virtualenv</w:t>
            </w:r>
          </w:p>
        </w:tc>
      </w:tr>
      <w:tr>
        <w:tc>
          <w:tcPr>
            <w:tcW w:type="dxa" w:w="2160"/>
            <w:shd w:val="clear" w:color="auto" w:fill="F7F4F6"/>
          </w:tcPr>
          <w:p>
            <w:pPr>
              <w:spacing w:after="40"/>
            </w:pPr>
            <w:r/>
            <w:r>
              <w:rPr>
                <w:rFonts w:ascii="Consolas" w:hAnsi="Consolas"/>
                <w:b/>
                <w:sz w:val="17"/>
              </w:rPr>
              <w:t>User</w:t>
            </w:r>
          </w:p>
        </w:tc>
        <w:tc>
          <w:tcPr>
            <w:tcW w:type="dxa" w:w="7920"/>
            <w:shd w:val="clear" w:color="auto" w:fill="F7F4F6"/>
          </w:tcPr>
          <w:p>
            <w:pPr>
              <w:spacing w:after="40"/>
            </w:pPr>
            <w:r/>
            <w:r>
              <w:rPr>
                <w:sz w:val="17"/>
              </w:rPr>
              <w:t>Unprivileged, uid 10001. Nothing the process does needs root.</w:t>
            </w:r>
          </w:p>
        </w:tc>
      </w:tr>
      <w:tr>
        <w:tc>
          <w:tcPr>
            <w:tcW w:type="dxa" w:w="2160"/>
          </w:tcPr>
          <w:p>
            <w:pPr>
              <w:spacing w:after="40"/>
            </w:pPr>
            <w:r/>
            <w:r>
              <w:rPr>
                <w:rFonts w:ascii="Consolas" w:hAnsi="Consolas"/>
                <w:b/>
                <w:sz w:val="17"/>
              </w:rPr>
              <w:t>Port</w:t>
            </w:r>
          </w:p>
        </w:tc>
        <w:tc>
          <w:tcPr>
            <w:tcW w:type="dxa" w:w="7920"/>
          </w:tcPr>
          <w:p>
            <w:pPr>
              <w:spacing w:after="40"/>
            </w:pPr>
            <w:r/>
            <w:r>
              <w:rPr>
                <w:sz w:val="17"/>
              </w:rPr>
              <w:t>8000, from $PORT</w:t>
            </w:r>
          </w:p>
        </w:tc>
      </w:tr>
      <w:tr>
        <w:tc>
          <w:tcPr>
            <w:tcW w:type="dxa" w:w="2160"/>
            <w:shd w:val="clear" w:color="auto" w:fill="F7F4F6"/>
          </w:tcPr>
          <w:p>
            <w:pPr>
              <w:spacing w:after="40"/>
            </w:pPr>
            <w:r/>
            <w:r>
              <w:rPr>
                <w:rFonts w:ascii="Consolas" w:hAnsi="Consolas"/>
                <w:b/>
                <w:sz w:val="17"/>
              </w:rPr>
              <w:t>Volume</w:t>
            </w:r>
          </w:p>
        </w:tc>
        <w:tc>
          <w:tcPr>
            <w:tcW w:type="dxa" w:w="7920"/>
            <w:shd w:val="clear" w:color="auto" w:fill="F7F4F6"/>
          </w:tcPr>
          <w:p>
            <w:pPr>
              <w:spacing w:after="40"/>
            </w:pPr>
            <w:r/>
            <w:r>
              <w:rPr>
                <w:sz w:val="17"/>
              </w:rPr>
              <w:t>/data — the SQLite database and the cached ML models</w:t>
            </w:r>
          </w:p>
        </w:tc>
      </w:tr>
      <w:tr>
        <w:tc>
          <w:tcPr>
            <w:tcW w:type="dxa" w:w="2160"/>
          </w:tcPr>
          <w:p>
            <w:pPr>
              <w:spacing w:after="40"/>
            </w:pPr>
            <w:r/>
            <w:r>
              <w:rPr>
                <w:rFonts w:ascii="Consolas" w:hAnsi="Consolas"/>
                <w:b/>
                <w:sz w:val="17"/>
              </w:rPr>
              <w:t>Health check</w:t>
            </w:r>
          </w:p>
        </w:tc>
        <w:tc>
          <w:tcPr>
            <w:tcW w:type="dxa" w:w="7920"/>
          </w:tcPr>
          <w:p>
            <w:pPr>
              <w:spacing w:after="40"/>
            </w:pPr>
            <w:r/>
            <w:r>
              <w:rPr>
                <w:sz w:val="17"/>
              </w:rPr>
              <w:t>GET /api/health via the Python interpreter (a slim image has no curl), 90-second start period for ML warm-up</w:t>
            </w:r>
          </w:p>
        </w:tc>
      </w:tr>
      <w:tr>
        <w:tc>
          <w:tcPr>
            <w:tcW w:type="dxa" w:w="2160"/>
            <w:shd w:val="clear" w:color="auto" w:fill="F7F4F6"/>
          </w:tcPr>
          <w:p>
            <w:pPr>
              <w:spacing w:after="40"/>
            </w:pPr>
            <w:r/>
            <w:r>
              <w:rPr>
                <w:rFonts w:ascii="Consolas" w:hAnsi="Consolas"/>
                <w:b/>
                <w:sz w:val="17"/>
              </w:rPr>
              <w:t>Datasets</w:t>
            </w:r>
          </w:p>
        </w:tc>
        <w:tc>
          <w:tcPr>
            <w:tcW w:type="dxa" w:w="7920"/>
            <w:shd w:val="clear" w:color="auto" w:fill="F7F4F6"/>
          </w:tcPr>
          <w:p>
            <w:pPr>
              <w:spacing w:after="40"/>
            </w:pPr>
            <w:r/>
            <w:r>
              <w:rPr>
                <w:sz w:val="17"/>
              </w:rPr>
              <w:t>server/datasets/ is copied in; the FedCycle and PCOS files total 456 KB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FFF8E7"/>
          </w:tcPr>
          <w:p>
            <w:r/>
            <w:r>
              <w:rPr>
                <w:b/>
                <w:color w:val="8A5A00"/>
                <w:sz w:val="21"/>
              </w:rPr>
              <w:t>libgomp1 is installed in the runtime stage on purpose.</w:t>
            </w:r>
          </w:p>
          <w:p>
            <w:pPr>
              <w:spacing w:after="40"/>
            </w:pPr>
            <w:r>
              <w:rPr>
                <w:sz w:val="20"/>
              </w:rPr>
              <w:t>It is scikit-learn's OpenMP runtime. The builder gets it via build-essential; a bare slim image does not have it. Without that line the image builds with no errors at all and then fails at startup with "libgomp.so.1: cannot open shared object file". If you slim this image further, that package stays.</w:t>
            </w:r>
          </w:p>
        </w:tc>
      </w:tr>
    </w:tbl>
    <w:p>
      <w:pPr>
        <w:spacing w:after="40"/>
      </w:pPr>
    </w:p>
    <w:p>
      <w:pPr>
        <w:spacing w:before="360" w:after="80"/>
      </w:pPr>
      <w:r>
        <w:rPr>
          <w:b/>
          <w:color w:val="8E2D5B"/>
          <w:sz w:val="30"/>
        </w:rPr>
        <w:t>11.  Deploying to AWS</w:t>
      </w:r>
    </w:p>
    <w:p>
      <w:pPr>
        <w:spacing w:after="160" w:before="0"/>
      </w:pPr>
      <w:r>
        <w:rPr>
          <w:b w:val="0"/>
          <w:i w:val="0"/>
          <w:color w:val="1A1A1A"/>
          <w:sz w:val="21"/>
        </w:rPr>
        <w:t>Deployment assets are in deploy/aws/ with a full runbook in deploy/aws/README.md. The recommended shape is a single EC2 instance running Docker, with the database on a separate EBS volume and Caddy terminating TLS.</w:t>
      </w:r>
    </w:p>
    <w:tbl>
      <w:tblPr>
        <w:tblStyle w:val="TableGrid"/>
        <w:tblW w:type="auto" w:w="0"/>
        <w:tblLook w:firstColumn="1" w:firstRow="1" w:lastColumn="0" w:lastRow="0" w:noHBand="0" w:noVBand="1" w:val="04A0"/>
      </w:tblPr>
      <w:tblGrid>
        <w:gridCol w:w="5040"/>
        <w:gridCol w:w="5040"/>
      </w:tblGrid>
      <w:tr>
        <w:tc>
          <w:tcPr>
            <w:tcW w:type="dxa" w:w="3168"/>
            <w:shd w:val="clear" w:color="auto" w:fill="3D2430"/>
          </w:tcPr>
          <w:p>
            <w:r/>
            <w:r>
              <w:rPr>
                <w:b/>
                <w:color w:val="FFFFFF"/>
                <w:sz w:val="19"/>
              </w:rPr>
              <w:t>File</w:t>
            </w:r>
          </w:p>
        </w:tc>
        <w:tc>
          <w:tcPr>
            <w:tcW w:type="dxa" w:w="6912"/>
            <w:shd w:val="clear" w:color="auto" w:fill="3D2430"/>
          </w:tcPr>
          <w:p>
            <w:r/>
            <w:r>
              <w:rPr>
                <w:b/>
                <w:color w:val="FFFFFF"/>
                <w:sz w:val="19"/>
              </w:rPr>
              <w:t>Purpose</w:t>
            </w:r>
          </w:p>
        </w:tc>
      </w:tr>
      <w:tr>
        <w:tc>
          <w:tcPr>
            <w:tcW w:type="dxa" w:w="3168"/>
          </w:tcPr>
          <w:p>
            <w:pPr>
              <w:spacing w:after="40"/>
            </w:pPr>
            <w:r/>
            <w:r>
              <w:rPr>
                <w:rFonts w:ascii="Consolas" w:hAnsi="Consolas"/>
                <w:b/>
                <w:sz w:val="17"/>
              </w:rPr>
              <w:t>deploy/aws/user-data.sh</w:t>
            </w:r>
          </w:p>
        </w:tc>
        <w:tc>
          <w:tcPr>
            <w:tcW w:type="dxa" w:w="6912"/>
          </w:tcPr>
          <w:p>
            <w:pPr>
              <w:spacing w:after="40"/>
            </w:pPr>
            <w:r/>
            <w:r>
              <w:rPr>
                <w:sz w:val="17"/>
              </w:rPr>
              <w:t>EC2 first-boot bootstrap — installs Docker, prepares and mounts the EBS data volume, writes a secrets skeleton. Idempotent, and it will not format a disk that already has a filesystem.</w:t>
            </w:r>
          </w:p>
        </w:tc>
      </w:tr>
      <w:tr>
        <w:tc>
          <w:tcPr>
            <w:tcW w:type="dxa" w:w="3168"/>
            <w:shd w:val="clear" w:color="auto" w:fill="F7F4F6"/>
          </w:tcPr>
          <w:p>
            <w:pPr>
              <w:spacing w:after="40"/>
            </w:pPr>
            <w:r/>
            <w:r>
              <w:rPr>
                <w:rFonts w:ascii="Consolas" w:hAnsi="Consolas"/>
                <w:b/>
                <w:sz w:val="17"/>
              </w:rPr>
              <w:t>deploy/aws/docker-compose.prod.yml</w:t>
            </w:r>
          </w:p>
        </w:tc>
        <w:tc>
          <w:tcPr>
            <w:tcW w:type="dxa" w:w="6912"/>
            <w:shd w:val="clear" w:color="auto" w:fill="F7F4F6"/>
          </w:tcPr>
          <w:p>
            <w:pPr>
              <w:spacing w:after="40"/>
            </w:pPr>
            <w:r/>
            <w:r>
              <w:rPr>
                <w:sz w:val="17"/>
              </w:rPr>
              <w:t>What runs on the instance: the API plus Caddy. The API is never published to the host, so there is no plaintext port bypassing TLS.</w:t>
            </w:r>
          </w:p>
        </w:tc>
      </w:tr>
      <w:tr>
        <w:tc>
          <w:tcPr>
            <w:tcW w:type="dxa" w:w="3168"/>
          </w:tcPr>
          <w:p>
            <w:pPr>
              <w:spacing w:after="40"/>
            </w:pPr>
            <w:r/>
            <w:r>
              <w:rPr>
                <w:rFonts w:ascii="Consolas" w:hAnsi="Consolas"/>
                <w:b/>
                <w:sz w:val="17"/>
              </w:rPr>
              <w:t>deploy/aws/Caddyfile</w:t>
            </w:r>
          </w:p>
        </w:tc>
        <w:tc>
          <w:tcPr>
            <w:tcW w:type="dxa" w:w="6912"/>
          </w:tcPr>
          <w:p>
            <w:pPr>
              <w:spacing w:after="40"/>
            </w:pPr>
            <w:r/>
            <w:r>
              <w:rPr>
                <w:sz w:val="17"/>
              </w:rPr>
              <w:t>Automatic Let’s Encrypt certificate. Needs a domain, an A record, and ports 80 and 443 open.</w:t>
            </w:r>
          </w:p>
        </w:tc>
      </w:tr>
      <w:tr>
        <w:tc>
          <w:tcPr>
            <w:tcW w:type="dxa" w:w="3168"/>
            <w:shd w:val="clear" w:color="auto" w:fill="F7F4F6"/>
          </w:tcPr>
          <w:p>
            <w:pPr>
              <w:spacing w:after="40"/>
            </w:pPr>
            <w:r/>
            <w:r>
              <w:rPr>
                <w:rFonts w:ascii="Consolas" w:hAnsi="Consolas"/>
                <w:b/>
                <w:sz w:val="17"/>
              </w:rPr>
              <w:t>deploy/aws/README.md</w:t>
            </w:r>
          </w:p>
        </w:tc>
        <w:tc>
          <w:tcPr>
            <w:tcW w:type="dxa" w:w="6912"/>
            <w:shd w:val="clear" w:color="auto" w:fill="F7F4F6"/>
          </w:tcPr>
          <w:p>
            <w:pPr>
              <w:spacing w:after="40"/>
            </w:pPr>
            <w:r/>
            <w:r>
              <w:rPr>
                <w:sz w:val="17"/>
              </w:rPr>
              <w:t>The runbook — launch, secrets, bring-up, verification, updates, backups.</w:t>
            </w:r>
          </w:p>
        </w:tc>
      </w:tr>
    </w:tbl>
    <w:p>
      <w:pPr>
        <w:spacing w:after="40"/>
      </w:pPr>
    </w:p>
    <w:p>
      <w:pPr>
        <w:spacing w:before="240" w:after="60"/>
      </w:pPr>
      <w:r>
        <w:rPr>
          <w:b/>
          <w:color w:val="1A1A1A"/>
          <w:sz w:val="23"/>
        </w:rPr>
        <w:t>Three failures that do not look like their cause</w:t>
      </w:r>
    </w:p>
    <w:tbl>
      <w:tblPr>
        <w:tblStyle w:val="TableGrid"/>
        <w:tblW w:type="auto" w:w="0"/>
        <w:tblLook w:firstColumn="1" w:firstRow="1" w:lastColumn="0" w:lastRow="0" w:noHBand="0" w:noVBand="1" w:val="04A0"/>
      </w:tblPr>
      <w:tblGrid>
        <w:gridCol w:w="3360"/>
        <w:gridCol w:w="3360"/>
        <w:gridCol w:w="3360"/>
      </w:tblGrid>
      <w:tr>
        <w:tc>
          <w:tcPr>
            <w:tcW w:type="dxa" w:w="504"/>
            <w:shd w:val="clear" w:color="auto" w:fill="3D2430"/>
          </w:tcPr>
          <w:p>
            <w:r/>
            <w:r>
              <w:rPr>
                <w:b/>
                <w:color w:val="FFFFFF"/>
                <w:sz w:val="19"/>
              </w:rPr>
              <w:t>#</w:t>
            </w:r>
          </w:p>
        </w:tc>
        <w:tc>
          <w:tcPr>
            <w:tcW w:type="dxa" w:w="2664"/>
            <w:shd w:val="clear" w:color="auto" w:fill="3D2430"/>
          </w:tcPr>
          <w:p>
            <w:r/>
            <w:r>
              <w:rPr>
                <w:b/>
                <w:color w:val="FFFFFF"/>
                <w:sz w:val="19"/>
              </w:rPr>
              <w:t>Failure</w:t>
            </w:r>
          </w:p>
        </w:tc>
        <w:tc>
          <w:tcPr>
            <w:tcW w:type="dxa" w:w="6912"/>
            <w:shd w:val="clear" w:color="auto" w:fill="3D2430"/>
          </w:tcPr>
          <w:p>
            <w:r/>
            <w:r>
              <w:rPr>
                <w:b/>
                <w:color w:val="FFFFFF"/>
                <w:sz w:val="19"/>
              </w:rPr>
              <w:t>Cause and fix</w:t>
            </w:r>
          </w:p>
        </w:tc>
      </w:tr>
      <w:tr>
        <w:tc>
          <w:tcPr>
            <w:tcW w:type="dxa" w:w="504"/>
          </w:tcPr>
          <w:p>
            <w:pPr>
              <w:spacing w:after="40"/>
            </w:pPr>
            <w:r/>
            <w:r>
              <w:rPr>
                <w:rFonts w:ascii="Consolas" w:hAnsi="Consolas"/>
                <w:b/>
                <w:sz w:val="17"/>
              </w:rPr>
              <w:t>1</w:t>
            </w:r>
          </w:p>
        </w:tc>
        <w:tc>
          <w:tcPr>
            <w:tcW w:type="dxa" w:w="2664"/>
          </w:tcPr>
          <w:p>
            <w:pPr>
              <w:spacing w:after="40"/>
            </w:pPr>
            <w:r/>
            <w:r>
              <w:rPr>
                <w:sz w:val="17"/>
              </w:rPr>
              <w:t>Existing patient data becomes unreadable</w:t>
            </w:r>
          </w:p>
        </w:tc>
        <w:tc>
          <w:tcPr>
            <w:tcW w:type="dxa" w:w="6912"/>
          </w:tcPr>
          <w:p>
            <w:pPr>
              <w:spacing w:after="40"/>
            </w:pPr>
            <w:r/>
            <w:r>
              <w:rPr>
                <w:sz w:val="17"/>
              </w:rPr>
              <w:t>A new AMRUNI_DATA_KEY was generated instead of carrying the old one across. The encryption is authenticated, so a wrong key refuses to decrypt rather than garbling. There is no recovery. Copy the exact existing value and verify a record reads back before retiring the old host.</w:t>
            </w:r>
          </w:p>
        </w:tc>
      </w:tr>
      <w:tr>
        <w:tc>
          <w:tcPr>
            <w:tcW w:type="dxa" w:w="504"/>
            <w:shd w:val="clear" w:color="auto" w:fill="F7F4F6"/>
          </w:tcPr>
          <w:p>
            <w:pPr>
              <w:spacing w:after="40"/>
            </w:pPr>
            <w:r/>
            <w:r>
              <w:rPr>
                <w:rFonts w:ascii="Consolas" w:hAnsi="Consolas"/>
                <w:b/>
                <w:sz w:val="17"/>
              </w:rPr>
              <w:t>2</w:t>
            </w:r>
          </w:p>
        </w:tc>
        <w:tc>
          <w:tcPr>
            <w:tcW w:type="dxa" w:w="2664"/>
            <w:shd w:val="clear" w:color="auto" w:fill="F7F4F6"/>
          </w:tcPr>
          <w:p>
            <w:pPr>
              <w:spacing w:after="40"/>
            </w:pPr>
            <w:r/>
            <w:r>
              <w:rPr>
                <w:sz w:val="17"/>
              </w:rPr>
              <w:t>Frontend appears to stop calling the API</w:t>
            </w:r>
          </w:p>
        </w:tc>
        <w:tc>
          <w:tcPr>
            <w:tcW w:type="dxa" w:w="6912"/>
            <w:shd w:val="clear" w:color="auto" w:fill="F7F4F6"/>
          </w:tcPr>
          <w:p>
            <w:pPr>
              <w:spacing w:after="40"/>
            </w:pPr>
            <w:r/>
            <w:r>
              <w:rPr>
                <w:sz w:val="17"/>
              </w:rPr>
              <w:t>The API is serving HTTP. Netlify serves HTTPS, and a browser refuses to let an HTTPS page call an HTTP endpoint. The block is in the browser, so the server logs show nothing. This is why Caddy is in the stack.</w:t>
            </w:r>
          </w:p>
        </w:tc>
      </w:tr>
      <w:tr>
        <w:tc>
          <w:tcPr>
            <w:tcW w:type="dxa" w:w="504"/>
          </w:tcPr>
          <w:p>
            <w:pPr>
              <w:spacing w:after="40"/>
            </w:pPr>
            <w:r/>
            <w:r>
              <w:rPr>
                <w:rFonts w:ascii="Consolas" w:hAnsi="Consolas"/>
                <w:b/>
                <w:sz w:val="17"/>
              </w:rPr>
              <w:t>3</w:t>
            </w:r>
          </w:p>
        </w:tc>
        <w:tc>
          <w:tcPr>
            <w:tcW w:type="dxa" w:w="2664"/>
          </w:tcPr>
          <w:p>
            <w:pPr>
              <w:spacing w:after="40"/>
            </w:pPr>
            <w:r/>
            <w:r>
              <w:rPr>
                <w:sz w:val="17"/>
              </w:rPr>
              <w:t>Container exits with "exec format error"</w:t>
            </w:r>
          </w:p>
        </w:tc>
        <w:tc>
          <w:tcPr>
            <w:tcW w:type="dxa" w:w="6912"/>
          </w:tcPr>
          <w:p>
            <w:pPr>
              <w:spacing w:after="40"/>
            </w:pPr>
            <w:r/>
            <w:r>
              <w:rPr>
                <w:sz w:val="17"/>
              </w:rPr>
              <w:t>The image was built on an Apple Silicon Mac (arm64) and deployed to an x86_64 instance. Build on the instance, pass --platform linux/amd64, or run a Graviton (t4g) instance.</w:t>
            </w:r>
          </w:p>
        </w:tc>
      </w:tr>
    </w:tbl>
    <w:p>
      <w:pPr>
        <w:spacing w:after="40"/>
      </w:pPr>
    </w:p>
    <w:p>
      <w:pPr>
        <w:spacing w:before="240" w:after="60"/>
      </w:pPr>
      <w:r>
        <w:rPr>
          <w:b/>
          <w:color w:val="1A1A1A"/>
          <w:sz w:val="23"/>
        </w:rPr>
        <w:t>Instance sizing</w:t>
      </w:r>
    </w:p>
    <w:p>
      <w:pPr>
        <w:spacing w:after="160" w:before="0"/>
      </w:pPr>
      <w:r>
        <w:rPr>
          <w:b w:val="0"/>
          <w:i w:val="0"/>
          <w:color w:val="1A1A1A"/>
          <w:sz w:val="21"/>
        </w:rPr>
        <w:t>t3.small or larger. t3.micro has 1 GB of RAM and scikit-learn, pandas and numpy will not sit comfortably in it alongside the application. Attach a separate EBS volume for the database and give the instance an Elastic IP — a default public IP changes on stop/start, which silently breaks the DNS record the TLS certificate depends on.</w:t>
      </w:r>
    </w:p>
    <w:p>
      <w:pPr>
        <w:spacing w:before="240" w:after="60"/>
      </w:pPr>
      <w:r>
        <w:rPr>
          <w:b/>
          <w:color w:val="1A1A1A"/>
          <w:sz w:val="23"/>
        </w:rPr>
        <w:t>If there is no domain</w:t>
      </w:r>
    </w:p>
    <w:p>
      <w:pPr>
        <w:spacing w:after="160" w:before="0"/>
      </w:pPr>
      <w:r>
        <w:rPr>
          <w:b w:val="0"/>
          <w:i w:val="0"/>
          <w:color w:val="1A1A1A"/>
          <w:sz w:val="21"/>
        </w:rPr>
        <w:t>Caddy cannot obtain a certificate for a raw IP or an *.amazonaws.com name, and neither can ACM. The workaround is a CloudFront distribution in front of the instance, which provides a trusted certificate on a *.cloudfront.net URL for free. Set the cache policy to CachingDisabled and forward the Authorization header — the default policy strips it, and every authenticated request will return 401 from a server that never saw a token. A domain is simpler and costs very little.</w:t>
      </w:r>
    </w:p>
    <w:p>
      <w:pPr>
        <w:spacing w:before="240" w:after="60"/>
      </w:pPr>
      <w:r>
        <w:rPr>
          <w:b/>
          <w:color w:val="1A1A1A"/>
          <w:sz w:val="23"/>
        </w:rPr>
        <w:t>Connecting the Netlify frontends</w:t>
      </w:r>
    </w:p>
    <w:p>
      <w:pPr>
        <w:spacing w:after="80" w:before="0"/>
      </w:pPr>
      <w:r>
        <w:rPr>
          <w:b w:val="0"/>
          <w:i w:val="0"/>
          <w:color w:val="1A1A1A"/>
          <w:sz w:val="21"/>
        </w:rPr>
        <w:t>Set VITE_API_URL to the AWS API root including the /api suffix, in each of the three build configurations, and add all three Netlify origins to ALLOWED_ORIGINS on the backend. These are build-time values, so a Netlify rebuild is required — setting them on a running site does nothing.</w:t>
      </w:r>
    </w:p>
    <w:p>
      <w:pPr>
        <w:spacing w:after="160"/>
        <w:ind w:left="317"/>
      </w:pPr>
      <w:r>
        <w:rPr>
          <w:rFonts w:ascii="Consolas" w:hAnsi="Consolas"/>
          <w:sz w:val="19"/>
        </w:rPr>
        <w:t>VITE_API_URL=https://api.yourdomain.com/api</w:t>
        <w:br/>
        <w:t>ALLOWED_ORIGINS=https://amruni-patient.netlify.app,https://amruni-doctor.netlify.app,https://amruni-admin.netlify.app</w:t>
      </w:r>
    </w:p>
    <w:p>
      <w:pPr>
        <w:spacing w:after="60" w:before="0"/>
      </w:pPr>
      <w:r>
        <w:rPr>
          <w:b w:val="0"/>
          <w:i w:val="0"/>
          <w:color w:val="1A1A1A"/>
          <w:sz w:val="20"/>
        </w:rPr>
        <w:t>Verified from the browser console on the live site:</w:t>
      </w:r>
    </w:p>
    <w:p>
      <w:pPr>
        <w:spacing w:after="160"/>
        <w:ind w:left="317"/>
      </w:pPr>
      <w:r>
        <w:rPr>
          <w:rFonts w:ascii="Consolas" w:hAnsi="Consolas"/>
          <w:sz w:val="19"/>
        </w:rPr>
        <w:t>await fetch('https://api.yourdomain.com/api/health').then(r =&gt; r.json())</w:t>
      </w:r>
    </w:p>
    <w:p>
      <w:pPr>
        <w:spacing w:after="160" w:before="0"/>
      </w:pPr>
      <w:r>
        <w:rPr>
          <w:b w:val="0"/>
          <w:i w:val="0"/>
          <w:color w:val="5A5A5A"/>
          <w:sz w:val="20"/>
        </w:rPr>
        <w:t>A CORS error here means ALLOWED_ORIGINS does not contain that exact origin — scheme and host, no trailing slash, no path.</w:t>
      </w:r>
    </w:p>
    <w:p>
      <w:pPr>
        <w:jc w:val="center"/>
      </w:pPr>
      <w:r>
        <w:rPr>
          <w:i/>
          <w:color w:val="5A5A5A"/>
          <w:sz w:val="19"/>
        </w:rPr>
        <w:t>End of document.</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