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26 (ИБ ИЗ2 ПЗ1 Д1033 Д10О4 Д2П2 Д2Б3 ОР1 ОД2).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ИБ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—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бесконечный источник;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ИЗ2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—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равномерный закон распределения;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ПЗ1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—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экспоненциальный закон распределения времени обслуживания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Д1033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—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постановка заявки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свободное место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Д10О4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—</w:t>
      </w:r>
      <w:r>
        <w:rPr>
          <w:rFonts w:ascii="Times New Roman" w:hAnsi="Times New Roman" w:cs="Times New Roman"/>
          <w:sz w:val="28"/>
          <w:szCs w:val="28"/>
        </w:rPr>
        <w:t xml:space="preserve"> дисциплина отказа: последняя заявка, поступившая в буфер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Д2П2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—</w:t>
      </w:r>
      <w:r>
        <w:rPr>
          <w:rFonts w:ascii="Times New Roman" w:hAnsi="Times New Roman" w:cs="Times New Roman"/>
          <w:sz w:val="28"/>
          <w:szCs w:val="28"/>
        </w:rPr>
        <w:t xml:space="preserve">выбор прибора по кольцу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Д2Б3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—</w:t>
      </w:r>
      <w:r>
        <w:rPr>
          <w:rFonts w:ascii="Times New Roman" w:hAnsi="Times New Roman" w:cs="Times New Roman"/>
          <w:sz w:val="28"/>
          <w:szCs w:val="28"/>
        </w:rPr>
        <w:t xml:space="preserve">выбор заявки из буфера по кольцу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—</w:t>
      </w:r>
      <w:r>
        <w:rPr>
          <w:rFonts w:ascii="Times New Roman" w:hAnsi="Times New Roman" w:cs="Times New Roman"/>
          <w:sz w:val="28"/>
          <w:szCs w:val="28"/>
        </w:rPr>
        <w:t xml:space="preserve">отображение результатов сводной таблицей результатов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ОД2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—</w:t>
      </w:r>
      <w:r>
        <w:rPr>
          <w:rFonts w:ascii="Times New Roman" w:hAnsi="Times New Roman" w:cs="Times New Roman"/>
          <w:sz w:val="28"/>
          <w:szCs w:val="28"/>
        </w:rPr>
        <w:t xml:space="preserve">отображение динамики функционирования модели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формализованная схема модели, текущее состояние</w:t>
      </w:r>
      <w:r>
        <w:rPr>
          <w:rFonts w:eastAsia="Times New Roman"/>
          <w:sz w:val="30"/>
          <w:szCs w:val="30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Бизнес-домен: Система </w:t>
      </w:r>
      <w:r>
        <w:rPr>
          <w:rFonts w:ascii="Times New Roman" w:hAnsi="Times New Roman" w:cs="Times New Roman"/>
          <w:sz w:val="28"/>
          <w:szCs w:val="28"/>
        </w:rPr>
        <w:t xml:space="preserve">управления заявками в сервисном центре.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Клиенты обращаются в сервисный центр и оставляют заявки на обслуживание своих устройств, указывая</w:t>
      </w:r>
      <w:r>
        <w:rPr>
          <w:rFonts w:ascii="Times New Roman" w:hAnsi="Times New Roman" w:cs="Times New Roman"/>
          <w:sz w:val="28"/>
          <w:szCs w:val="28"/>
        </w:rPr>
        <w:t xml:space="preserve"> в них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 поломке. Заявки обрабатываются мастерами в порядке поступления, если </w:t>
      </w:r>
      <w:r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 xml:space="preserve">свобод</w:t>
      </w:r>
      <w:r>
        <w:rPr>
          <w:rFonts w:ascii="Times New Roman" w:hAnsi="Times New Roman" w:cs="Times New Roman"/>
          <w:sz w:val="28"/>
          <w:szCs w:val="28"/>
        </w:rPr>
        <w:t xml:space="preserve">ные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Каждая заявка помещается в очередь, если </w:t>
      </w:r>
      <w:r>
        <w:rPr>
          <w:rFonts w:ascii="Times New Roman" w:hAnsi="Times New Roman" w:cs="Times New Roman"/>
          <w:sz w:val="28"/>
          <w:szCs w:val="28"/>
        </w:rPr>
        <w:t xml:space="preserve">мастера заняты</w:t>
      </w:r>
      <w:r>
        <w:rPr>
          <w:rFonts w:ascii="Times New Roman" w:hAnsi="Times New Roman" w:cs="Times New Roman"/>
          <w:sz w:val="28"/>
          <w:szCs w:val="28"/>
        </w:rPr>
        <w:t xml:space="preserve">. При переполнении очереди новые заявки могут быть отклонены. Количество мастеров ограничено, что приводит к необходимости управления заявками в очереди для эффективного распределения нагрузки.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моделирует процесс обработки заявок, оптимизируя использование мастеров, чтобы минимизировать время ожидания и снизить количество отклоненных заявок.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Маппинг бизнес-домена на компоненты СМО: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Источник – Клиенты, оставляющие заявки на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устройств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Заявка – Оставленная клиентом заявка, в которой указываются ФИО клиента и</w:t>
      </w:r>
      <w:r>
        <w:rPr>
          <w:rFonts w:ascii="Times New Roman" w:hAnsi="Times New Roman" w:cs="Times New Roman"/>
          <w:sz w:val="28"/>
          <w:szCs w:val="28"/>
        </w:rPr>
        <w:t xml:space="preserve"> информация об устройстве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Буфер – Очередь заявок в системе. Буфер имеет ограниченные ресурсы, из-за чего заявки могут ожидать своей очереди или быть отклонены.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Диспетчер постановки – Компонент системы, распределяющий заявки в очередь. </w:t>
      </w:r>
      <w:r>
        <w:rPr>
          <w:rFonts w:ascii="Times New Roman" w:hAnsi="Times New Roman" w:cs="Times New Roman"/>
          <w:sz w:val="28"/>
          <w:szCs w:val="28"/>
        </w:rPr>
        <w:t xml:space="preserve">При переполнении буфера последняя заявка удаляется.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Диспетчер выборки – Компонент, отвечающий за распределение заявок к </w:t>
      </w:r>
      <w:r>
        <w:rPr>
          <w:rFonts w:ascii="Times New Roman" w:hAnsi="Times New Roman" w:cs="Times New Roman"/>
          <w:sz w:val="28"/>
          <w:szCs w:val="28"/>
        </w:rPr>
        <w:t xml:space="preserve">доступным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мастерам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Прибор</w:t>
      </w:r>
      <w:r>
        <w:rPr>
          <w:rFonts w:ascii="Times New Roman" w:hAnsi="Times New Roman" w:cs="Times New Roman"/>
          <w:sz w:val="28"/>
          <w:szCs w:val="28"/>
        </w:rPr>
        <w:t xml:space="preserve">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Мастера сервисного центра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Логика о</w:t>
      </w:r>
      <w:r>
        <w:rPr>
          <w:rFonts w:ascii="Times New Roman" w:hAnsi="Times New Roman" w:cs="Times New Roman"/>
          <w:sz w:val="28"/>
          <w:szCs w:val="28"/>
        </w:rPr>
        <w:t xml:space="preserve">т</w:t>
      </w:r>
      <w:r>
        <w:rPr>
          <w:rFonts w:ascii="Times New Roman" w:hAnsi="Times New Roman" w:cs="Times New Roman"/>
          <w:sz w:val="28"/>
          <w:szCs w:val="28"/>
        </w:rPr>
        <w:t xml:space="preserve">каз</w:t>
      </w:r>
      <w:r>
        <w:rPr>
          <w:rFonts w:ascii="Times New Roman" w:hAnsi="Times New Roman" w:cs="Times New Roman"/>
          <w:sz w:val="28"/>
          <w:szCs w:val="28"/>
        </w:rPr>
        <w:t xml:space="preserve">ов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очередь переполнена, система автоматически отклоняет последнюю поступившую заявку</w:t>
      </w:r>
      <w:r>
        <w:rPr>
          <w:rFonts w:ascii="Times New Roman" w:hAnsi="Times New Roman" w:cs="Times New Roman"/>
          <w:sz w:val="28"/>
          <w:szCs w:val="28"/>
        </w:rPr>
        <w:t xml:space="preserve">. Если заявка клиента отклонена, то ему приходит уведомление об этом. Отказанные заявки остаются вне процесса обработки заказов.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Заявки на ремонт техники проходят через единую систему сервисного цент</w:t>
      </w:r>
      <w:r>
        <w:rPr>
          <w:rFonts w:ascii="Times New Roman" w:hAnsi="Times New Roman" w:cs="Times New Roman"/>
          <w:sz w:val="28"/>
          <w:szCs w:val="28"/>
        </w:rPr>
        <w:t xml:space="preserve">ра. Система обрабатывает данные заявок. При поступлении заявки система проверяет наличие свободных мастеров. Если свободные мастера есть, система передает заявку мастеру, иначе помещает в очередь, если там есть места, в противном случае заявка отклоняется.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Артефакты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85468" cy="6540529"/>
                <wp:effectExtent l="0" t="0" r="5715" b="0"/>
                <wp:docPr id="1" name="Рисунок 8" descr="Изображение выглядит как текст, диаграмма, План, Технический чертеж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2157613" name="Рисунок 8" descr="Изображение выглядит как текст, диаграмма, План, Технический чертеж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990104" cy="6546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2.56pt;height:515.00pt;mso-wrap-distance-left:0.00pt;mso-wrap-distance-top:0.00pt;mso-wrap-distance-right:0.00pt;mso-wrap-distance-bottom:0.00pt;" stroked="f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заявк</w:t>
      </w:r>
      <w:r>
        <w:rPr>
          <w:rFonts w:ascii="Times New Roman" w:hAnsi="Times New Roman" w:cs="Times New Roman"/>
          <w:sz w:val="28"/>
          <w:szCs w:val="28"/>
        </w:rPr>
        <w:t xml:space="preserve">у</w:t>
      </w:r>
      <w:r>
        <w:rPr>
          <w:rFonts w:ascii="Times New Roman" w:hAnsi="Times New Roman" w:cs="Times New Roman"/>
          <w:sz w:val="28"/>
          <w:szCs w:val="28"/>
        </w:rPr>
        <w:t xml:space="preserve"> клиент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на ремонт техники.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Technician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прибор</w:t>
      </w:r>
      <w:r>
        <w:rPr>
          <w:rFonts w:ascii="Times New Roman" w:hAnsi="Times New Roman" w:cs="Times New Roman"/>
          <w:sz w:val="28"/>
          <w:szCs w:val="28"/>
        </w:rPr>
        <w:t xml:space="preserve">, обслуживаю</w:t>
      </w:r>
      <w:r>
        <w:rPr>
          <w:rFonts w:ascii="Times New Roman" w:hAnsi="Times New Roman" w:cs="Times New Roman"/>
          <w:sz w:val="28"/>
          <w:szCs w:val="28"/>
        </w:rPr>
        <w:t xml:space="preserve">щий</w:t>
      </w:r>
      <w:r>
        <w:rPr>
          <w:rFonts w:ascii="Times New Roman" w:hAnsi="Times New Roman" w:cs="Times New Roman"/>
          <w:sz w:val="28"/>
          <w:szCs w:val="28"/>
        </w:rPr>
        <w:t xml:space="preserve"> заявки.</w:t>
      </w:r>
      <w:r>
        <w:rPr>
          <w:rFonts w:ascii="Times New Roman" w:hAnsi="Times New Roman" w:cs="Times New Roman"/>
          <w:sz w:val="28"/>
          <w:szCs w:val="28"/>
        </w:rPr>
        <w:t xml:space="preserve"> Прибор выбирается по кольцевому алгоритму (Д2П2).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QueueBuffer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буфер для </w:t>
      </w:r>
      <w:r>
        <w:rPr>
          <w:rFonts w:ascii="Times New Roman" w:hAnsi="Times New Roman" w:cs="Times New Roman"/>
          <w:sz w:val="28"/>
          <w:szCs w:val="28"/>
        </w:rPr>
        <w:t xml:space="preserve">хран</w:t>
      </w:r>
      <w:r>
        <w:rPr>
          <w:rFonts w:ascii="Times New Roman" w:hAnsi="Times New Roman" w:cs="Times New Roman"/>
          <w:sz w:val="28"/>
          <w:szCs w:val="28"/>
        </w:rPr>
        <w:t xml:space="preserve">ения</w:t>
      </w:r>
      <w:r>
        <w:rPr>
          <w:rFonts w:ascii="Times New Roman" w:hAnsi="Times New Roman" w:cs="Times New Roman"/>
          <w:sz w:val="28"/>
          <w:szCs w:val="28"/>
        </w:rPr>
        <w:t xml:space="preserve"> заяв</w:t>
      </w:r>
      <w:r>
        <w:rPr>
          <w:rFonts w:ascii="Times New Roman" w:hAnsi="Times New Roman" w:cs="Times New Roman"/>
          <w:sz w:val="28"/>
          <w:szCs w:val="28"/>
        </w:rPr>
        <w:t xml:space="preserve">ок</w:t>
      </w:r>
      <w:r>
        <w:rPr>
          <w:rFonts w:ascii="Times New Roman" w:hAnsi="Times New Roman" w:cs="Times New Roman"/>
          <w:sz w:val="28"/>
          <w:szCs w:val="28"/>
        </w:rPr>
        <w:t xml:space="preserve">, ожидающи</w:t>
      </w:r>
      <w:r>
        <w:rPr>
          <w:rFonts w:ascii="Times New Roman" w:hAnsi="Times New Roman" w:cs="Times New Roman"/>
          <w:sz w:val="28"/>
          <w:szCs w:val="28"/>
        </w:rPr>
        <w:t xml:space="preserve">х</w:t>
      </w:r>
      <w:r>
        <w:rPr>
          <w:rFonts w:ascii="Times New Roman" w:hAnsi="Times New Roman" w:cs="Times New Roman"/>
          <w:sz w:val="28"/>
          <w:szCs w:val="28"/>
        </w:rPr>
        <w:t xml:space="preserve"> своего выполнения.</w:t>
      </w:r>
      <w:r>
        <w:rPr>
          <w:rFonts w:ascii="Times New Roman" w:hAnsi="Times New Roman" w:cs="Times New Roman"/>
          <w:sz w:val="28"/>
          <w:szCs w:val="28"/>
        </w:rPr>
        <w:t xml:space="preserve"> Заявка ставится на свободное место (Д1033). Если буфер переполнен, последняя поступившая заявка отклоняется (Д10О4).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RequestDistribution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</w:t>
      </w:r>
      <w:r>
        <w:rPr>
          <w:rFonts w:ascii="Times New Roman" w:hAnsi="Times New Roman" w:cs="Times New Roman"/>
          <w:sz w:val="28"/>
          <w:szCs w:val="28"/>
        </w:rPr>
        <w:t xml:space="preserve"> управлени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распределением заявок между </w:t>
      </w:r>
      <w:r>
        <w:rPr>
          <w:rFonts w:ascii="Times New Roman" w:hAnsi="Times New Roman" w:cs="Times New Roman"/>
          <w:sz w:val="28"/>
          <w:szCs w:val="28"/>
        </w:rPr>
        <w:t xml:space="preserve">буфером и мастерами.</w:t>
      </w:r>
      <w:r>
        <w:rPr>
          <w:rFonts w:ascii="Times New Roman" w:hAnsi="Times New Roman" w:cs="Times New Roman"/>
          <w:sz w:val="28"/>
          <w:szCs w:val="28"/>
        </w:rPr>
        <w:t xml:space="preserve"> Заявки выбираются по кольцевому принципу (Д2Б3).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System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главный класс, управляющий всем процессом обработки заявок.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635750"/>
                <wp:effectExtent l="0" t="0" r="317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663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522.5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BPMN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56630"/>
                <wp:effectExtent l="0" t="0" r="3175" b="1270"/>
                <wp:docPr id="3" name="Рисунок 4" descr="Изображение выглядит как текст, диаграмма, План, Технический чертеж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7102143" name="Рисунок 4" descr="Изображение выглядит как текст, диаграмма, План, Технический чертеж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6056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476.90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Sequence)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154545"/>
                <wp:effectExtent l="0" t="0" r="3175" b="8255"/>
                <wp:docPr id="4" name="Рисунок 2" descr="Изображение выглядит как текст, диаграмма, Параллельный, План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8108436" name="Рисунок 2" descr="Изображение выглядит как текст, диаграмма, Параллельный, План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715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563.35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7"/>
    <w:link w:val="61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7"/>
    <w:link w:val="61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7"/>
    <w:link w:val="62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7"/>
    <w:link w:val="62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7"/>
    <w:link w:val="62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7"/>
    <w:link w:val="623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27"/>
    <w:link w:val="6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27"/>
    <w:link w:val="625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27"/>
    <w:link w:val="626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27"/>
    <w:link w:val="639"/>
    <w:uiPriority w:val="10"/>
    <w:rPr>
      <w:sz w:val="48"/>
      <w:szCs w:val="48"/>
    </w:rPr>
  </w:style>
  <w:style w:type="character" w:styleId="37">
    <w:name w:val="Subtitle Char"/>
    <w:basedOn w:val="627"/>
    <w:link w:val="641"/>
    <w:uiPriority w:val="11"/>
    <w:rPr>
      <w:sz w:val="24"/>
      <w:szCs w:val="24"/>
    </w:rPr>
  </w:style>
  <w:style w:type="character" w:styleId="39">
    <w:name w:val="Quote Char"/>
    <w:link w:val="643"/>
    <w:uiPriority w:val="29"/>
    <w:rPr>
      <w:i/>
    </w:rPr>
  </w:style>
  <w:style w:type="character" w:styleId="41">
    <w:name w:val="Intense Quote Char"/>
    <w:link w:val="647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7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7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974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196c2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fe4f4" w:themeFill="accent1" w:themeFillTint="34"/>
    </w:tblPr>
    <w:tblStylePr w:type="band1Horz">
      <w:tcPr>
        <w:shd w:val="clear" w:color="ffffff" w:themeColor="accent1" w:themeTint="75" w:fill="70c4e7" w:themeFill="accent1" w:themeFillTint="75"/>
      </w:tcPr>
    </w:tblStylePr>
    <w:tblStylePr w:type="band1Vert">
      <w:tcPr>
        <w:shd w:val="clear" w:color="ffffff" w:themeColor="accent1" w:themeTint="75" w:fill="70c4e7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e2d7" w:themeFill="accent2" w:themeFillTint="32"/>
    </w:tblPr>
    <w:tblStylePr w:type="band1Horz">
      <w:tcPr>
        <w:shd w:val="clear" w:color="ffffff" w:themeColor="accent2" w:themeTint="75" w:fill="f4bca1" w:themeFill="accent2" w:themeFillTint="75"/>
      </w:tcPr>
    </w:tblStylePr>
    <w:tblStylePr w:type="band1Vert">
      <w:tcPr>
        <w:shd w:val="clear" w:color="ffffff" w:themeColor="accent2" w:themeTint="75" w:fill="f4bc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bff0c5" w:themeFill="accent3" w:themeFillTint="34"/>
    </w:tblPr>
    <w:tblStylePr w:type="band1Horz">
      <w:tcPr>
        <w:shd w:val="clear" w:color="ffffff" w:themeColor="accent3" w:themeTint="75" w:fill="72dd7e" w:themeFill="accent3" w:themeFillTint="75"/>
      </w:tcPr>
    </w:tblStylePr>
    <w:tblStylePr w:type="band1Vert">
      <w:tcPr>
        <w:shd w:val="clear" w:color="ffffff" w:themeColor="accent3" w:themeTint="75" w:fill="72dd7e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8edfb" w:themeFill="accent4" w:themeFillTint="34"/>
    </w:tblPr>
    <w:tblStylePr w:type="band1Horz">
      <w:tcPr>
        <w:shd w:val="clear" w:color="ffffff" w:themeColor="accent4" w:themeTint="75" w:fill="85d7f6" w:themeFill="accent4" w:themeFillTint="75"/>
      </w:tcPr>
    </w:tblStylePr>
    <w:tblStylePr w:type="band1Vert">
      <w:tcPr>
        <w:shd w:val="clear" w:color="ffffff" w:themeColor="accent4" w:themeTint="75" w:fill="85d7f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1ceed" w:themeFill="accent5" w:themeFillTint="34"/>
    </w:tblPr>
    <w:tblStylePr w:type="band1Horz">
      <w:tcPr>
        <w:shd w:val="clear" w:color="ffffff" w:themeColor="accent5" w:themeTint="75" w:fill="e08fd8" w:themeFill="accent5" w:themeFillTint="75"/>
      </w:tcPr>
    </w:tblStylePr>
    <w:tblStylePr w:type="band1Vert">
      <w:tcPr>
        <w:shd w:val="clear" w:color="ffffff" w:themeColor="accent5" w:themeTint="75" w:fill="e08fd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1d0" w:themeFill="accent6" w:themeFillTint="34"/>
    </w:tblPr>
    <w:tblStylePr w:type="band1Horz">
      <w:tcPr>
        <w:shd w:val="clear" w:color="ffffff" w:themeColor="accent6" w:themeTint="75" w:fill="aae194" w:themeFill="accent6" w:themeFillTint="75"/>
      </w:tcPr>
    </w:tblStylePr>
    <w:tblStylePr w:type="band1Vert">
      <w:tcPr>
        <w:shd w:val="clear" w:color="ffffff" w:themeColor="accent6" w:themeTint="75" w:fill="aae19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b7ca4" w:themeColor="accent1" w:themeTint="80" w:themeShade="95"/>
      </w:rPr>
    </w:tblStylePr>
    <w:tblStylePr w:type="firstRow">
      <w:rPr>
        <w:b/>
        <w:color w:val="1b7ca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ca4" w:themeColor="accent1" w:themeTint="80" w:themeShade="95"/>
      </w:rPr>
    </w:tblStylePr>
    <w:tblStylePr w:type="lastRow">
      <w:rPr>
        <w:b/>
        <w:color w:val="1b7ca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0e3f14" w:themeColor="accent3" w:themeTint="FE" w:themeShade="95"/>
      </w:rPr>
    </w:tblStylePr>
    <w:tblStylePr w:type="firstRow">
      <w:rPr>
        <w:b/>
        <w:color w:val="0e3f14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e3f14" w:themeColor="accent3" w:themeTint="FE" w:themeShade="95"/>
      </w:rPr>
    </w:tblStylePr>
    <w:tblStylePr w:type="lastRow">
      <w:rPr>
        <w:b/>
        <w:color w:val="0e3f14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b7ca4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1b7ca4" w:themeColor="accent1" w:themeTint="80" w:themeShade="95"/>
        <w:sz w:val="22"/>
      </w:rPr>
    </w:tblStylePr>
    <w:tblStylePr w:type="firstCol">
      <w:rPr>
        <w:rFonts w:ascii="Arial" w:hAnsi="Arial"/>
        <w:i/>
        <w:color w:val="1b7ca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ca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0e3f14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0e3f14" w:themeColor="accent3" w:themeTint="FE" w:themeShade="95"/>
        <w:sz w:val="22"/>
      </w:rPr>
    </w:tblStylePr>
    <w:tblStylePr w:type="firstCol">
      <w:rPr>
        <w:rFonts w:ascii="Arial" w:hAnsi="Arial"/>
        <w:i/>
        <w:color w:val="0e3f14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e3f14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c1955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5c1955" w:themeColor="accent5" w:themeShade="95"/>
        <w:sz w:val="22"/>
      </w:rPr>
    </w:tblStylePr>
    <w:tblStylePr w:type="firstCol">
      <w:rPr>
        <w:rFonts w:ascii="Arial" w:hAnsi="Arial"/>
        <w:i/>
        <w:color w:val="5c1955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c1955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e611a" w:themeColor="accent6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2e611a" w:themeColor="accent6" w:themeShade="95"/>
        <w:sz w:val="22"/>
      </w:rPr>
    </w:tblStylePr>
    <w:tblStylePr w:type="firstCol">
      <w:rPr>
        <w:rFonts w:ascii="Arial" w:hAnsi="Arial"/>
        <w:i/>
        <w:color w:val="2e611a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11a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47d45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76cc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0d873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blStylePr w:type="band1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1a884" w:themeFill="accent2" w:themeFillTint="97"/>
    </w:tblPr>
    <w:tblStylePr w:type="band1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1a8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7d458" w:themeFill="accent3" w:themeFillTint="98"/>
    </w:tblPr>
    <w:tblStylePr w:type="band1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47d45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47d45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3" w:themeFill="accent4" w:themeFillTint="9A"/>
    </w:tblPr>
    <w:tblStylePr w:type="band1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60cbf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76ccb" w:themeFill="accent5" w:themeFillTint="9A"/>
    </w:tblPr>
    <w:tblStylePr w:type="band1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76cc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76cc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0d873" w:themeFill="accent6" w:themeFillTint="98"/>
    </w:tblPr>
    <w:tblStylePr w:type="band1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0d873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0d873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394b" w:themeColor="accent1" w:themeShade="95"/>
      </w:rPr>
    </w:tblStylePr>
    <w:tblStylePr w:type="firstRow">
      <w:rPr>
        <w:b/>
        <w:color w:val="0c394b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94b" w:themeColor="accent1" w:themeShade="95"/>
      </w:rPr>
    </w:tblStylePr>
    <w:tblStylePr w:type="lastRow">
      <w:rPr>
        <w:b/>
        <w:color w:val="0c394b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1f842b" w:themeColor="accent3" w:themeTint="98" w:themeShade="95"/>
      </w:rPr>
    </w:tblStylePr>
    <w:tblStylePr w:type="firstRow">
      <w:rPr>
        <w:b/>
        <w:color w:val="1f842b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842b" w:themeColor="accent3" w:themeTint="98" w:themeShade="95"/>
      </w:rPr>
    </w:tblStylePr>
    <w:tblStylePr w:type="lastRow">
      <w:rPr>
        <w:b/>
        <w:color w:val="1f842b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932888" w:themeColor="accent5" w:themeTint="9A" w:themeShade="95"/>
      </w:rPr>
    </w:tblStylePr>
    <w:tblStylePr w:type="firstRow">
      <w:rPr>
        <w:b/>
        <w:color w:val="932888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32888" w:themeColor="accent5" w:themeTint="9A" w:themeShade="95"/>
      </w:rPr>
    </w:tblStylePr>
    <w:tblStylePr w:type="lastRow">
      <w:rPr>
        <w:b/>
        <w:color w:val="932888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b952a" w:themeColor="accent6" w:themeTint="98" w:themeShade="95"/>
      </w:rPr>
    </w:tblStylePr>
    <w:tblStylePr w:type="firstRow">
      <w:rPr>
        <w:b/>
        <w:color w:val="4b952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b952a" w:themeColor="accent6" w:themeTint="98" w:themeShade="95"/>
      </w:rPr>
    </w:tblStylePr>
    <w:tblStylePr w:type="lastRow">
      <w:rPr>
        <w:b/>
        <w:color w:val="4b952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394b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0c394b" w:themeColor="accent1" w:themeShade="95"/>
        <w:sz w:val="22"/>
      </w:rPr>
    </w:tblStylePr>
    <w:tblStylePr w:type="firstCol">
      <w:rPr>
        <w:rFonts w:ascii="Arial" w:hAnsi="Arial"/>
        <w:i/>
        <w:color w:val="0c394b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94b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c394b" w:themeColor="accent1" w:themeShade="95"/>
        <w:sz w:val="22"/>
      </w:rPr>
    </w:tblStylePr>
  </w:style>
  <w:style w:type="table" w:styleId="148">
    <w:name w:val="List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34f16" w:themeColor="accent2" w:themeTint="97" w:themeShade="95"/>
        <w:sz w:val="22"/>
      </w:rPr>
    </w:tblStylePr>
  </w:style>
  <w:style w:type="table" w:styleId="149">
    <w:name w:val="List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1f842b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1f842b" w:themeColor="accent3" w:themeTint="98" w:themeShade="95"/>
        <w:sz w:val="22"/>
      </w:rPr>
    </w:tblStylePr>
    <w:tblStylePr w:type="firstCol">
      <w:rPr>
        <w:rFonts w:ascii="Arial" w:hAnsi="Arial"/>
        <w:i/>
        <w:color w:val="1f842b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1f842b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1f842b" w:themeColor="accent3" w:themeTint="98" w:themeShade="95"/>
        <w:sz w:val="22"/>
      </w:rPr>
    </w:tblStylePr>
  </w:style>
  <w:style w:type="table" w:styleId="150">
    <w:name w:val="List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d8ab8" w:themeColor="accent4" w:themeTint="9A" w:themeShade="95"/>
        <w:sz w:val="22"/>
      </w:rPr>
    </w:tblStylePr>
  </w:style>
  <w:style w:type="table" w:styleId="151">
    <w:name w:val="List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932888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932888" w:themeColor="accent5" w:themeTint="9A" w:themeShade="95"/>
        <w:sz w:val="22"/>
      </w:rPr>
    </w:tblStylePr>
    <w:tblStylePr w:type="firstCol">
      <w:rPr>
        <w:rFonts w:ascii="Arial" w:hAnsi="Arial"/>
        <w:i/>
        <w:color w:val="932888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32888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32888" w:themeColor="accent5" w:themeTint="9A" w:themeShade="95"/>
        <w:sz w:val="22"/>
      </w:rPr>
    </w:tblStylePr>
  </w:style>
  <w:style w:type="table" w:styleId="152">
    <w:name w:val="List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b952a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b952a" w:themeColor="accent6" w:themeTint="98" w:themeShade="95"/>
        <w:sz w:val="22"/>
      </w:rPr>
    </w:tblStylePr>
    <w:tblStylePr w:type="firstCol">
      <w:rPr>
        <w:rFonts w:ascii="Arial" w:hAnsi="Arial"/>
        <w:i/>
        <w:color w:val="4b952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b952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b952a" w:themeColor="accent6" w:themeTint="98" w:themeShade="95"/>
        <w:sz w:val="22"/>
      </w:rPr>
    </w:tblStylePr>
  </w:style>
  <w:style w:type="table" w:styleId="153">
    <w:name w:val="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55">
    <w:name w:val="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56">
    <w:name w:val="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57">
    <w:name w:val="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58">
    <w:name w:val="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59">
    <w:name w:val="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0">
    <w:name w:val="Bordered &amp; 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62">
    <w:name w:val="Bordered &amp; 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63">
    <w:name w:val="Bordered &amp; 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64">
    <w:name w:val="Bordered &amp; 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65">
    <w:name w:val="Bordered &amp; 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66">
    <w:name w:val="Bordered &amp; 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7">
    <w:name w:val="Bordered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7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7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paragraph" w:styleId="618">
    <w:name w:val="Heading 1"/>
    <w:basedOn w:val="617"/>
    <w:next w:val="617"/>
    <w:link w:val="630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19">
    <w:name w:val="Heading 2"/>
    <w:basedOn w:val="617"/>
    <w:next w:val="617"/>
    <w:link w:val="631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20">
    <w:name w:val="Heading 3"/>
    <w:basedOn w:val="617"/>
    <w:next w:val="617"/>
    <w:link w:val="632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21">
    <w:name w:val="Heading 4"/>
    <w:basedOn w:val="617"/>
    <w:next w:val="617"/>
    <w:link w:val="633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22">
    <w:name w:val="Heading 5"/>
    <w:basedOn w:val="617"/>
    <w:next w:val="617"/>
    <w:link w:val="634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23">
    <w:name w:val="Heading 6"/>
    <w:basedOn w:val="617"/>
    <w:next w:val="617"/>
    <w:link w:val="635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4">
    <w:name w:val="Heading 7"/>
    <w:basedOn w:val="617"/>
    <w:next w:val="617"/>
    <w:link w:val="636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625">
    <w:name w:val="Heading 8"/>
    <w:basedOn w:val="617"/>
    <w:next w:val="617"/>
    <w:link w:val="637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26">
    <w:name w:val="Heading 9"/>
    <w:basedOn w:val="617"/>
    <w:next w:val="617"/>
    <w:link w:val="638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627" w:default="1">
    <w:name w:val="Default Paragraph Font"/>
    <w:uiPriority w:val="1"/>
    <w:unhideWhenUsed/>
  </w:style>
  <w:style w:type="table" w:styleId="6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9" w:default="1">
    <w:name w:val="No List"/>
    <w:uiPriority w:val="99"/>
    <w:semiHidden/>
    <w:unhideWhenUsed/>
  </w:style>
  <w:style w:type="character" w:styleId="630" w:customStyle="1">
    <w:name w:val="Заголовок 1 Знак"/>
    <w:basedOn w:val="627"/>
    <w:link w:val="618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31" w:customStyle="1">
    <w:name w:val="Заголовок 2 Знак"/>
    <w:basedOn w:val="627"/>
    <w:link w:val="619"/>
    <w:uiPriority w:val="9"/>
    <w:semiHidden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32" w:customStyle="1">
    <w:name w:val="Заголовок 3 Знак"/>
    <w:basedOn w:val="627"/>
    <w:link w:val="620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styleId="633" w:customStyle="1">
    <w:name w:val="Заголовок 4 Знак"/>
    <w:basedOn w:val="627"/>
    <w:link w:val="621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styleId="634" w:customStyle="1">
    <w:name w:val="Заголовок 5 Знак"/>
    <w:basedOn w:val="627"/>
    <w:link w:val="622"/>
    <w:uiPriority w:val="9"/>
    <w:semiHidden/>
    <w:rPr>
      <w:rFonts w:eastAsiaTheme="majorEastAsia" w:cstheme="majorBidi"/>
      <w:color w:val="0f4761" w:themeColor="accent1" w:themeShade="BF"/>
    </w:rPr>
  </w:style>
  <w:style w:type="character" w:styleId="635" w:customStyle="1">
    <w:name w:val="Заголовок 6 Знак"/>
    <w:basedOn w:val="627"/>
    <w:link w:val="623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636" w:customStyle="1">
    <w:name w:val="Заголовок 7 Знак"/>
    <w:basedOn w:val="627"/>
    <w:link w:val="624"/>
    <w:uiPriority w:val="9"/>
    <w:semiHidden/>
    <w:rPr>
      <w:rFonts w:eastAsiaTheme="majorEastAsia" w:cstheme="majorBidi"/>
      <w:color w:val="595959" w:themeColor="text1" w:themeTint="A6"/>
    </w:rPr>
  </w:style>
  <w:style w:type="character" w:styleId="637" w:customStyle="1">
    <w:name w:val="Заголовок 8 Знак"/>
    <w:basedOn w:val="627"/>
    <w:link w:val="625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638" w:customStyle="1">
    <w:name w:val="Заголовок 9 Знак"/>
    <w:basedOn w:val="627"/>
    <w:link w:val="626"/>
    <w:uiPriority w:val="9"/>
    <w:semiHidden/>
    <w:rPr>
      <w:rFonts w:eastAsiaTheme="majorEastAsia" w:cstheme="majorBidi"/>
      <w:color w:val="272727" w:themeColor="text1" w:themeTint="D8"/>
    </w:rPr>
  </w:style>
  <w:style w:type="paragraph" w:styleId="639">
    <w:name w:val="Title"/>
    <w:basedOn w:val="617"/>
    <w:next w:val="617"/>
    <w:link w:val="640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0" w:customStyle="1">
    <w:name w:val="Заголовок Знак"/>
    <w:basedOn w:val="627"/>
    <w:link w:val="63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1">
    <w:name w:val="Subtitle"/>
    <w:basedOn w:val="617"/>
    <w:next w:val="617"/>
    <w:link w:val="642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2" w:customStyle="1">
    <w:name w:val="Подзаголовок Знак"/>
    <w:basedOn w:val="627"/>
    <w:link w:val="641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3">
    <w:name w:val="Quote"/>
    <w:basedOn w:val="617"/>
    <w:next w:val="617"/>
    <w:link w:val="644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644" w:customStyle="1">
    <w:name w:val="Цитата 2 Знак"/>
    <w:basedOn w:val="627"/>
    <w:link w:val="643"/>
    <w:uiPriority w:val="29"/>
    <w:rPr>
      <w:i/>
      <w:iCs/>
      <w:color w:val="404040" w:themeColor="text1" w:themeTint="BF"/>
    </w:rPr>
  </w:style>
  <w:style w:type="paragraph" w:styleId="645">
    <w:name w:val="List Paragraph"/>
    <w:basedOn w:val="617"/>
    <w:uiPriority w:val="34"/>
    <w:qFormat/>
    <w:pPr>
      <w:contextualSpacing/>
      <w:ind w:left="720"/>
    </w:pPr>
  </w:style>
  <w:style w:type="character" w:styleId="646">
    <w:name w:val="Intense Emphasis"/>
    <w:basedOn w:val="627"/>
    <w:uiPriority w:val="21"/>
    <w:qFormat/>
    <w:rPr>
      <w:i/>
      <w:iCs/>
      <w:color w:val="0f4761" w:themeColor="accent1" w:themeShade="BF"/>
    </w:rPr>
  </w:style>
  <w:style w:type="paragraph" w:styleId="647">
    <w:name w:val="Intense Quote"/>
    <w:basedOn w:val="617"/>
    <w:next w:val="617"/>
    <w:link w:val="648"/>
    <w:uiPriority w:val="30"/>
    <w:qFormat/>
    <w:pPr>
      <w:ind w:left="864" w:right="864"/>
      <w:jc w:val="center"/>
      <w:spacing w:before="360" w:after="360"/>
      <w:pBdr>
        <w:top w:val="single" w:color="0F4761" w:themeColor="accent1" w:themeShade="BF" w:sz="4" w:space="10"/>
        <w:bottom w:val="single" w:color="0F4761" w:themeColor="accent1" w:themeShade="BF" w:sz="4" w:space="10"/>
      </w:pBdr>
    </w:pPr>
    <w:rPr>
      <w:i/>
      <w:iCs/>
      <w:color w:val="0f4761" w:themeColor="accent1" w:themeShade="BF"/>
    </w:rPr>
  </w:style>
  <w:style w:type="character" w:styleId="648" w:customStyle="1">
    <w:name w:val="Выделенная цитата Знак"/>
    <w:basedOn w:val="627"/>
    <w:link w:val="647"/>
    <w:uiPriority w:val="30"/>
    <w:rPr>
      <w:i/>
      <w:iCs/>
      <w:color w:val="0f4761" w:themeColor="accent1" w:themeShade="BF"/>
    </w:rPr>
  </w:style>
  <w:style w:type="character" w:styleId="649">
    <w:name w:val="Intense Reference"/>
    <w:basedOn w:val="627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Артём Дмитриевич</dc:creator>
  <cp:keywords/>
  <dc:description/>
  <cp:lastModifiedBy>Артем Ефремов</cp:lastModifiedBy>
  <cp:revision>13</cp:revision>
  <dcterms:created xsi:type="dcterms:W3CDTF">2024-11-20T06:08:00Z</dcterms:created>
  <dcterms:modified xsi:type="dcterms:W3CDTF">2024-12-08T09:18:19Z</dcterms:modified>
</cp:coreProperties>
</file>