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E68E" w14:textId="77777777" w:rsidR="000B7C07" w:rsidRPr="000B7C07" w:rsidRDefault="000B7C07" w:rsidP="000B7C07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Modul</w:t>
      </w:r>
      <w:proofErr w:type="spellEnd"/>
      <w:r w:rsidRPr="000B7C0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practică</w:t>
      </w:r>
      <w:proofErr w:type="spellEnd"/>
      <w:r w:rsidRPr="000B7C0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test</w:t>
      </w:r>
    </w:p>
    <w:p w14:paraId="327290B8" w14:textId="77777777" w:rsidR="000B7C07" w:rsidRPr="000B7C07" w:rsidRDefault="000B7C07" w:rsidP="000B7C07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Ce </w:t>
      </w:r>
      <w:proofErr w:type="spellStart"/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am</w:t>
      </w:r>
      <w:proofErr w:type="spellEnd"/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învățat</w:t>
      </w:r>
      <w:proofErr w:type="spellEnd"/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acest</w:t>
      </w:r>
      <w:proofErr w:type="spellEnd"/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</w:t>
      </w:r>
      <w:proofErr w:type="spellEnd"/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?</w:t>
      </w:r>
      <w:proofErr w:type="gramEnd"/>
    </w:p>
    <w:p w14:paraId="70269E8F" w14:textId="77777777" w:rsidR="000B7C07" w:rsidRPr="000B7C07" w:rsidRDefault="000B7C07" w:rsidP="000B7C0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deosebit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susceptibile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malware care provin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e-mail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navigare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web, cum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DDOS,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încălcări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datei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programe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malware. Aceste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 au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folosit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obicei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caracteristici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tradiționale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cum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antivirus/antimalware, firewall-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sisteme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prevenire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intruziunilor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(HIPS)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bine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protejate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printr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combinație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NAC, software AMP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un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e-mail (ESA)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web (WSA). </w:t>
      </w:r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Cisco WSA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efectua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lista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neagră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URL,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filtrare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URL,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scanare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malware,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categorizare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URL,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filtrare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</w:t>
      </w:r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aplicațiilor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web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criptare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decriptare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traficului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web.</w:t>
      </w:r>
    </w:p>
    <w:p w14:paraId="149DCB3D" w14:textId="77777777" w:rsidR="000B7C07" w:rsidRPr="000B7C07" w:rsidRDefault="000B7C07" w:rsidP="000B7C0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AAA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controlează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permisiunea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), ce pot face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acolo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autorizare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)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auditeze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acțiuni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au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efectuat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rețeaua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contabilitate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).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Autorizarea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folosește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set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atribute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descriu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Contabilitatea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combinată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păstrează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jurnal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detaliat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exact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face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Standardul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IEEE 802.1X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protocol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control al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restricționează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stațiile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lucru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neautorizate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conecteze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o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accesibile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public.</w:t>
      </w:r>
    </w:p>
    <w:p w14:paraId="048A9D3C" w14:textId="77777777" w:rsidR="000B7C07" w:rsidRPr="000B7C07" w:rsidRDefault="000B7C07" w:rsidP="000B7C0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compromis,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atunci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straturile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deasupra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acestuia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afectate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pas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asupra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infrastructurii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Layer 2 este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înțelegerea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funcționării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Layer 2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soluțiilor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Layer </w:t>
      </w:r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2:</w:t>
      </w:r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Security, DHCP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DAI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IPSG.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vor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funcționa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decât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protocoalele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management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4BEB181" w14:textId="77777777" w:rsidR="000B7C07" w:rsidRPr="000B7C07" w:rsidRDefault="000B7C07" w:rsidP="000B7C0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inundare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bombardează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false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până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al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plin.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moment,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tratează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cadrul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unicast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necunoscut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începe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inunde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traficul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același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fără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face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referire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captura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acum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cadrele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trimise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o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local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local.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folosește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0B7C0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macof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genera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rapid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aleatorii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destinații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depășire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tabelelor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implementeze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2AC903C" w14:textId="77777777" w:rsidR="000B7C07" w:rsidRPr="000B7C07" w:rsidRDefault="000B7C07" w:rsidP="000B7C0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Un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salt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permite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traficul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un VLAN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văzut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un</w:t>
      </w:r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alt VLAN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fără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ajutorul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router.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acționeze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profita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port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trunking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automat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majoritatea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12616A1" w14:textId="77777777" w:rsidR="000B7C07" w:rsidRPr="000B7C07" w:rsidRDefault="000B7C07" w:rsidP="000B7C0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Un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etichetare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dublă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este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unidirecțional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funcționează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atunci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port care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locuiește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același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</w:t>
      </w:r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VLAN-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nativ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Etichetarea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dublă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permite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trimită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date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către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VLAN care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altfel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blocat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un</w:t>
      </w:r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anumit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tip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control al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Traficul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întoarcere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va fi,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permis,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permițând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comunice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VLAN-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blocat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normal.</w:t>
      </w:r>
    </w:p>
    <w:p w14:paraId="4D3EE73E" w14:textId="77777777" w:rsidR="000B7C07" w:rsidRPr="000B7C07" w:rsidRDefault="000B7C07" w:rsidP="000B7C07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salt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dubla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etichetare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pot fi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prevenite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reguli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013A1DAE" w14:textId="77777777" w:rsidR="000B7C07" w:rsidRPr="000B7C07" w:rsidRDefault="000B7C07" w:rsidP="000B7C07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Dezactivați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D913BC2" w14:textId="77777777" w:rsidR="000B7C07" w:rsidRPr="000B7C07" w:rsidRDefault="000B7C07" w:rsidP="000B7C07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Dezactivați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trunchiul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automat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legăturile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trunchiului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astfel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încât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trunchiurile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trebuie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activate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manual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37AE4703" w14:textId="77777777" w:rsidR="000B7C07" w:rsidRPr="000B7C07" w:rsidRDefault="000B7C07" w:rsidP="000B7C07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Asigurați-vă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VLAN-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nativ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este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utilizat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numai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legăturile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trunchiului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33E712A6" w14:textId="77777777" w:rsidR="000B7C07" w:rsidRPr="000B7C07" w:rsidRDefault="000B7C07" w:rsidP="000B7C07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ru-MD" w:eastAsia="ru-MD"/>
        </w:rPr>
        <w:t>Atacul</w:t>
      </w:r>
      <w:proofErr w:type="spellEnd"/>
      <w:r w:rsidRPr="000B7C07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ru-MD" w:eastAsia="ru-MD"/>
        </w:rPr>
        <w:t xml:space="preserve"> DHCP:</w:t>
      </w:r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serverele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DHCP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oferă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mod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dinamic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clienților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informații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despre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configurația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inclusiv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masca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subrețea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gateway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implicit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servere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DNS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multe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altele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Două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tipuri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atacuri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DHCP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sunt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DHCP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starvation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DHCP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spoofing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Ambele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atacuri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sunt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atenuate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prin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implementarea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DHCP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Snooping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42C3304A" w14:textId="77777777" w:rsidR="000B7C07" w:rsidRPr="000B7C07" w:rsidRDefault="000B7C07" w:rsidP="000B7C07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ru-MD" w:eastAsia="ru-MD"/>
        </w:rPr>
        <w:t>Atacul</w:t>
      </w:r>
      <w:proofErr w:type="spellEnd"/>
      <w:r w:rsidRPr="000B7C07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ru-MD" w:eastAsia="ru-MD"/>
        </w:rPr>
        <w:t xml:space="preserve"> ARP:</w:t>
      </w:r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actor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amenințare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trimite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mesaj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gratuit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conține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o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falsificată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către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comutator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iar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comutatorul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actualizează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tabelul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consecință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Acum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actorul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amenințării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trimite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solicitări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nesolicitate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către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alte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gazde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subrețea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actorului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amenințării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gateway-ului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implicit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Falsificarea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otrăvirea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ARP sunt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atenuate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implementarea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DAI.</w:t>
      </w:r>
    </w:p>
    <w:p w14:paraId="55205362" w14:textId="77777777" w:rsidR="000B7C07" w:rsidRPr="000B7C07" w:rsidRDefault="000B7C07" w:rsidP="000B7C0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falsificare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</w:t>
      </w:r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: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falsificarea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IP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atunci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când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actor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amenințare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deturnează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IP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validă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altui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dispozitiv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din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subrețea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sau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folosește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IP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aleatorie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falsificare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</w:t>
      </w:r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apar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atunci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când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actorii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amenințărilor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modifică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gazdei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lor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se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potrivi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 </w:t>
      </w:r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lastRenderedPageBreak/>
        <w:t xml:space="preserve">o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altă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cunoscută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unei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gazde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țintă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Falsificarea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IP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atenuată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implementarea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IPSG.</w:t>
      </w:r>
    </w:p>
    <w:p w14:paraId="542BC1E6" w14:textId="77777777" w:rsidR="000B7C07" w:rsidRPr="000B7C07" w:rsidRDefault="000B7C07" w:rsidP="000B7C0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STP: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actorii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amenințări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manipulează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STP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gram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</w:t>
      </w:r>
      <w:proofErr w:type="gram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efectua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falsificarea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podului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rădăcină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schimbând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topologia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unei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Actorii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amenințărilor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fac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gazdele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apară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punți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rădăcină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;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captarea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întregului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trafic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domeniul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imediat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STP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atenuat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implementarea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BPDU Guard pe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acces</w:t>
      </w:r>
      <w:proofErr w:type="spellEnd"/>
    </w:p>
    <w:p w14:paraId="2DBA7297" w14:textId="77777777" w:rsidR="000B7C07" w:rsidRPr="000B7C07" w:rsidRDefault="000B7C07" w:rsidP="000B7C0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Recunoaștere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CDP: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informațiile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CDP sunt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trimise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compatibile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CDP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într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-un multicast periodic,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necriptat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Informațiile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CDP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includ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IP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dispozitivului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versiunea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software-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ului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IOS,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platforma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capabilitățile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VLAN-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nativ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Dispozitivul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care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primește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mesajul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CDP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actualizează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baza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date CDP.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informațiile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furnizate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CDP pot fi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folosite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un actor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amenințare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descoperi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vulnerabilitățile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infrastructurii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exploatarea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CDP,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limitați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utilizarea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CDP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0B7C0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75932B3" w14:textId="77777777" w:rsidR="00200462" w:rsidRPr="000B7C07" w:rsidRDefault="00200462" w:rsidP="000B7C07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200462" w:rsidRPr="000B7C07" w:rsidSect="000B7C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337A2"/>
    <w:multiLevelType w:val="multilevel"/>
    <w:tmpl w:val="E27E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98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3F"/>
    <w:rsid w:val="000B7C07"/>
    <w:rsid w:val="00200462"/>
    <w:rsid w:val="00FA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5B12"/>
  <w15:chartTrackingRefBased/>
  <w15:docId w15:val="{95EE5FDF-57EF-4D75-9A34-3509824D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0B7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0B7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B7C07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0B7C07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0B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styleId="Robust">
    <w:name w:val="Strong"/>
    <w:basedOn w:val="Fontdeparagrafimplicit"/>
    <w:uiPriority w:val="22"/>
    <w:qFormat/>
    <w:rsid w:val="000B7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85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2425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9089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061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3</cp:revision>
  <dcterms:created xsi:type="dcterms:W3CDTF">2022-10-19T07:50:00Z</dcterms:created>
  <dcterms:modified xsi:type="dcterms:W3CDTF">2022-10-19T07:51:00Z</dcterms:modified>
</cp:coreProperties>
</file>