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322B" w14:textId="77777777" w:rsidR="00E125D9" w:rsidRDefault="00F57795">
      <w:pPr>
        <w:spacing w:before="240" w:after="240"/>
        <w:jc w:val="center"/>
      </w:pPr>
      <w:r>
        <w:t>Государственный Университет Молдовы</w:t>
      </w:r>
    </w:p>
    <w:p w14:paraId="62C0A08B" w14:textId="77777777" w:rsidR="00E125D9" w:rsidRDefault="00F57795">
      <w:pPr>
        <w:spacing w:before="240" w:after="240"/>
        <w:jc w:val="center"/>
      </w:pPr>
      <w:r>
        <w:t>Факультет Математики и Информатики</w:t>
      </w:r>
    </w:p>
    <w:p w14:paraId="12DBD754" w14:textId="77777777" w:rsidR="00E125D9" w:rsidRPr="00653BCD" w:rsidRDefault="00F57795">
      <w:pPr>
        <w:spacing w:before="240" w:after="240"/>
        <w:jc w:val="center"/>
        <w:rPr>
          <w:lang w:val="en-US"/>
        </w:rPr>
      </w:pPr>
      <w:r>
        <w:t>Департамент</w:t>
      </w:r>
      <w:r w:rsidRPr="00653BCD">
        <w:rPr>
          <w:lang w:val="en-US"/>
        </w:rPr>
        <w:t xml:space="preserve"> </w:t>
      </w:r>
      <w:r>
        <w:t>Информатики</w:t>
      </w:r>
    </w:p>
    <w:p w14:paraId="16E07B66" w14:textId="77777777" w:rsidR="00E125D9" w:rsidRPr="00653BCD" w:rsidRDefault="00F57795">
      <w:pPr>
        <w:spacing w:before="240" w:after="240"/>
        <w:rPr>
          <w:lang w:val="en-US"/>
        </w:rPr>
      </w:pPr>
      <w:r w:rsidRPr="00653BCD">
        <w:rPr>
          <w:lang w:val="en-US"/>
        </w:rPr>
        <w:t xml:space="preserve"> </w:t>
      </w:r>
    </w:p>
    <w:p w14:paraId="3CEAAF47" w14:textId="77777777" w:rsidR="00E125D9" w:rsidRPr="00653BCD" w:rsidRDefault="00F57795">
      <w:pPr>
        <w:spacing w:before="240" w:after="240"/>
        <w:rPr>
          <w:lang w:val="en-US"/>
        </w:rPr>
      </w:pPr>
      <w:r w:rsidRPr="00653BCD">
        <w:rPr>
          <w:lang w:val="en-US"/>
        </w:rPr>
        <w:t xml:space="preserve"> </w:t>
      </w:r>
    </w:p>
    <w:p w14:paraId="12530B9D" w14:textId="77777777" w:rsidR="00E125D9" w:rsidRPr="00653BCD" w:rsidRDefault="00F57795">
      <w:pPr>
        <w:spacing w:before="240" w:after="240"/>
        <w:rPr>
          <w:lang w:val="en-US"/>
        </w:rPr>
      </w:pPr>
      <w:r w:rsidRPr="00653BCD">
        <w:rPr>
          <w:lang w:val="en-US"/>
        </w:rPr>
        <w:t xml:space="preserve"> </w:t>
      </w:r>
    </w:p>
    <w:p w14:paraId="16F15131" w14:textId="783727F7" w:rsidR="00E125D9" w:rsidRPr="00653BCD" w:rsidRDefault="00F57795">
      <w:pPr>
        <w:spacing w:before="240" w:after="240"/>
        <w:jc w:val="center"/>
        <w:rPr>
          <w:sz w:val="48"/>
          <w:szCs w:val="48"/>
          <w:lang w:val="en-US"/>
        </w:rPr>
      </w:pPr>
      <w:r w:rsidRPr="00653BCD">
        <w:rPr>
          <w:lang w:val="en-US"/>
        </w:rPr>
        <w:t xml:space="preserve"> </w:t>
      </w:r>
      <w:r w:rsidRPr="00653BCD">
        <w:rPr>
          <w:sz w:val="36"/>
          <w:szCs w:val="36"/>
          <w:lang w:val="en-US"/>
        </w:rPr>
        <w:t>“</w:t>
      </w:r>
      <w:r w:rsidR="00695580">
        <w:rPr>
          <w:sz w:val="36"/>
          <w:szCs w:val="36"/>
          <w:lang w:val="en-US"/>
        </w:rPr>
        <w:t>Proiectarea sistemelor informatice</w:t>
      </w:r>
      <w:r w:rsidRPr="00653BCD">
        <w:rPr>
          <w:sz w:val="36"/>
          <w:szCs w:val="36"/>
          <w:lang w:val="en-US"/>
        </w:rPr>
        <w:t>”</w:t>
      </w:r>
    </w:p>
    <w:p w14:paraId="3E4D0518" w14:textId="77777777" w:rsidR="00231181" w:rsidRDefault="00F57795">
      <w:pPr>
        <w:spacing w:before="240"/>
        <w:ind w:right="-540"/>
        <w:jc w:val="center"/>
        <w:rPr>
          <w:sz w:val="48"/>
          <w:szCs w:val="48"/>
        </w:rPr>
      </w:pPr>
      <w:r>
        <w:rPr>
          <w:sz w:val="48"/>
          <w:szCs w:val="48"/>
        </w:rPr>
        <w:t xml:space="preserve">Лабораторная работа 1 </w:t>
      </w:r>
    </w:p>
    <w:p w14:paraId="42C47F65" w14:textId="368F8A76" w:rsidR="00E125D9" w:rsidRDefault="00231181">
      <w:pPr>
        <w:spacing w:before="240"/>
        <w:ind w:right="-540"/>
        <w:jc w:val="center"/>
        <w:rPr>
          <w:sz w:val="36"/>
          <w:szCs w:val="36"/>
        </w:rPr>
      </w:pPr>
      <w:r>
        <w:rPr>
          <w:sz w:val="48"/>
          <w:szCs w:val="48"/>
          <w:lang w:val="ru-RU"/>
        </w:rPr>
        <w:t>Эссе:</w:t>
      </w:r>
      <w:r w:rsidR="00F57795">
        <w:rPr>
          <w:sz w:val="36"/>
          <w:szCs w:val="36"/>
        </w:rPr>
        <w:t>“</w:t>
      </w:r>
      <w:r>
        <w:rPr>
          <w:sz w:val="36"/>
          <w:szCs w:val="36"/>
          <w:lang w:val="ru-RU"/>
        </w:rPr>
        <w:t>Системы с централизованным и децентрализованным хранением данных</w:t>
      </w:r>
      <w:r w:rsidR="00F57795">
        <w:rPr>
          <w:sz w:val="36"/>
          <w:szCs w:val="36"/>
        </w:rPr>
        <w:t>”</w:t>
      </w:r>
    </w:p>
    <w:p w14:paraId="0758212F" w14:textId="77777777" w:rsidR="00E125D9" w:rsidRDefault="00E125D9">
      <w:pPr>
        <w:spacing w:before="240" w:after="240"/>
      </w:pPr>
    </w:p>
    <w:p w14:paraId="5AFDB33B" w14:textId="77777777" w:rsidR="00E125D9" w:rsidRDefault="00E125D9">
      <w:pPr>
        <w:spacing w:before="240" w:after="240"/>
      </w:pPr>
    </w:p>
    <w:p w14:paraId="51D1D040" w14:textId="77777777" w:rsidR="00E125D9" w:rsidRDefault="00F57795">
      <w:pPr>
        <w:spacing w:before="240" w:after="240"/>
      </w:pPr>
      <w:r>
        <w:t xml:space="preserve"> </w:t>
      </w:r>
    </w:p>
    <w:p w14:paraId="792EFDB7" w14:textId="1F56277C" w:rsidR="00E125D9" w:rsidRPr="00814BA2" w:rsidRDefault="00F57795">
      <w:pPr>
        <w:spacing w:before="240" w:after="240"/>
        <w:jc w:val="right"/>
        <w:rPr>
          <w:lang w:val="ru-RU"/>
        </w:rPr>
      </w:pPr>
      <w:r>
        <w:t xml:space="preserve">Проверил: </w:t>
      </w:r>
      <w:r w:rsidR="00231181">
        <w:rPr>
          <w:lang w:val="ru-MD"/>
        </w:rPr>
        <w:t>Гладей</w:t>
      </w:r>
      <w:r w:rsidR="00814BA2">
        <w:rPr>
          <w:lang w:val="ru-RU"/>
        </w:rPr>
        <w:t xml:space="preserve"> Анатлоий</w:t>
      </w:r>
    </w:p>
    <w:p w14:paraId="1AC846D9" w14:textId="7A75E7B5" w:rsidR="00E125D9" w:rsidRDefault="00F57795">
      <w:pPr>
        <w:spacing w:before="240" w:after="240"/>
        <w:jc w:val="right"/>
      </w:pPr>
      <w:r>
        <w:t xml:space="preserve">Выполнил: </w:t>
      </w:r>
      <w:r w:rsidR="007A5283">
        <w:rPr>
          <w:lang w:val="ru-MD"/>
        </w:rPr>
        <w:t>Чобану Артём</w:t>
      </w:r>
      <w:r>
        <w:t xml:space="preserve"> </w:t>
      </w:r>
    </w:p>
    <w:p w14:paraId="1052C5EE" w14:textId="77777777" w:rsidR="00E125D9" w:rsidRDefault="00E125D9">
      <w:pPr>
        <w:spacing w:before="240" w:after="240"/>
      </w:pPr>
    </w:p>
    <w:p w14:paraId="527FFFCB" w14:textId="77777777" w:rsidR="00E125D9" w:rsidRDefault="00F57795">
      <w:pPr>
        <w:spacing w:before="240" w:after="240"/>
      </w:pPr>
      <w:r>
        <w:t xml:space="preserve"> </w:t>
      </w:r>
    </w:p>
    <w:p w14:paraId="138501C4" w14:textId="77777777" w:rsidR="00E125D9" w:rsidRDefault="00E125D9">
      <w:pPr>
        <w:spacing w:before="240" w:after="240"/>
      </w:pPr>
    </w:p>
    <w:p w14:paraId="70A168B5" w14:textId="742F9E0C" w:rsidR="00E125D9" w:rsidRPr="00FD567F" w:rsidRDefault="00F57795">
      <w:pPr>
        <w:spacing w:before="240" w:after="240"/>
        <w:jc w:val="center"/>
        <w:rPr>
          <w:lang w:val="ru-MD"/>
        </w:rPr>
        <w:sectPr w:rsidR="00E125D9" w:rsidRPr="00FD567F">
          <w:footerReference w:type="default" r:id="rId8"/>
          <w:footerReference w:type="first" r:id="rId9"/>
          <w:pgSz w:w="11909" w:h="16834"/>
          <w:pgMar w:top="1440" w:right="1440" w:bottom="1440" w:left="1440" w:header="720" w:footer="720" w:gutter="0"/>
          <w:pgNumType w:start="0"/>
          <w:cols w:space="720"/>
          <w:titlePg/>
        </w:sectPr>
      </w:pPr>
      <w:r>
        <w:t>Кишинев 202</w:t>
      </w:r>
      <w:r w:rsidR="00FD567F">
        <w:rPr>
          <w:lang w:val="ru-MD"/>
        </w:rPr>
        <w:t>1</w:t>
      </w:r>
    </w:p>
    <w:p w14:paraId="737470A2" w14:textId="76DB42C8" w:rsidR="00116307" w:rsidRPr="00030F8E" w:rsidRDefault="00116307" w:rsidP="00116307">
      <w:pPr>
        <w:pStyle w:val="a6"/>
        <w:spacing w:before="0" w:beforeAutospacing="0" w:after="0" w:afterAutospacing="0"/>
        <w:textAlignment w:val="baseline"/>
        <w:rPr>
          <w:rFonts w:ascii="inherit" w:hAnsi="inherit"/>
          <w:b/>
          <w:bCs/>
          <w:color w:val="404750"/>
          <w:bdr w:val="none" w:sz="0" w:space="0" w:color="auto" w:frame="1"/>
          <w:lang w:val="ru-RU"/>
        </w:rPr>
      </w:pPr>
      <w:r>
        <w:rPr>
          <w:rFonts w:ascii="inherit" w:hAnsi="inherit"/>
          <w:b/>
          <w:bCs/>
          <w:color w:val="404750"/>
          <w:bdr w:val="none" w:sz="0" w:space="0" w:color="auto" w:frame="1"/>
          <w:lang w:val="ru-RU"/>
        </w:rPr>
        <w:lastRenderedPageBreak/>
        <w:t>Ц</w:t>
      </w:r>
      <w:r w:rsidRPr="00030F8E">
        <w:rPr>
          <w:rFonts w:ascii="inherit" w:hAnsi="inherit"/>
          <w:b/>
          <w:bCs/>
          <w:color w:val="404750"/>
          <w:bdr w:val="none" w:sz="0" w:space="0" w:color="auto" w:frame="1"/>
          <w:lang w:val="ru-RU"/>
        </w:rPr>
        <w:t>ентрализованное хранение</w:t>
      </w:r>
      <w:r w:rsidR="001C5516">
        <w:rPr>
          <w:rFonts w:ascii="inherit" w:hAnsi="inherit"/>
          <w:b/>
          <w:bCs/>
          <w:color w:val="404750"/>
          <w:bdr w:val="none" w:sz="0" w:space="0" w:color="auto" w:frame="1"/>
          <w:lang w:val="ru-RU"/>
        </w:rPr>
        <w:t>:</w:t>
      </w:r>
    </w:p>
    <w:p w14:paraId="289FDF0E" w14:textId="77777777" w:rsidR="00116307" w:rsidRDefault="00116307" w:rsidP="00567B24">
      <w:pPr>
        <w:pStyle w:val="a6"/>
        <w:spacing w:before="0" w:beforeAutospacing="0" w:after="0" w:afterAutospacing="0"/>
        <w:textAlignment w:val="baseline"/>
        <w:rPr>
          <w:rFonts w:ascii="inherit" w:hAnsi="inherit"/>
          <w:color w:val="404750"/>
          <w:bdr w:val="none" w:sz="0" w:space="0" w:color="auto" w:frame="1"/>
          <w:lang w:val="ru-RU"/>
        </w:rPr>
      </w:pPr>
    </w:p>
    <w:p w14:paraId="443B4F47" w14:textId="53A2D3B0" w:rsidR="00567B24" w:rsidRPr="005E733B" w:rsidRDefault="00567B24" w:rsidP="00567B24">
      <w:pPr>
        <w:pStyle w:val="a6"/>
        <w:spacing w:before="0" w:beforeAutospacing="0" w:after="0" w:afterAutospacing="0"/>
        <w:textAlignment w:val="baseline"/>
        <w:rPr>
          <w:rFonts w:ascii="Helvetica" w:hAnsi="Helvetica"/>
          <w:color w:val="404750"/>
          <w:lang w:val="ru-RU"/>
        </w:rPr>
      </w:pPr>
      <w:r w:rsidRPr="005E733B">
        <w:rPr>
          <w:rFonts w:ascii="inherit" w:hAnsi="inherit"/>
          <w:color w:val="404750"/>
          <w:bdr w:val="none" w:sz="0" w:space="0" w:color="auto" w:frame="1"/>
          <w:lang w:val="ru-RU"/>
        </w:rPr>
        <w:t>Многие компании вынуждены полагаться на централизованные базы данных для хранения информации своих клиентов. Подобные решения могут стать идеальным и экономически оправданным выбором для малого бизнеса. Но по мере роста компании необходимо расширять инфраструктуру и добавлять дополнительные сервера для обеспечения бесперебойной работы. В результате, масштабирование системы может стать основной статьей расходов. Не следует также забывать о проблемах, которые возникают в результате высокого трафика.</w:t>
      </w:r>
    </w:p>
    <w:p w14:paraId="272D5E24" w14:textId="3A83D549" w:rsidR="00BB1BF3" w:rsidRPr="00352723" w:rsidRDefault="00BB1BF3" w:rsidP="00352723">
      <w:pPr>
        <w:pStyle w:val="a6"/>
        <w:spacing w:before="0" w:beforeAutospacing="0" w:after="0" w:afterAutospacing="0"/>
        <w:textAlignment w:val="baseline"/>
        <w:rPr>
          <w:rFonts w:ascii="inherit" w:hAnsi="inherit"/>
          <w:color w:val="404750"/>
          <w:bdr w:val="none" w:sz="0" w:space="0" w:color="auto" w:frame="1"/>
          <w:lang w:val="ru-RU"/>
        </w:rPr>
      </w:pPr>
    </w:p>
    <w:p w14:paraId="6E9A2177" w14:textId="31BC38B1" w:rsidR="0035205D" w:rsidRPr="00352723" w:rsidRDefault="005C79DF" w:rsidP="00352723">
      <w:pPr>
        <w:pStyle w:val="a6"/>
        <w:spacing w:before="0" w:beforeAutospacing="0" w:after="0" w:afterAutospacing="0"/>
        <w:textAlignment w:val="baseline"/>
        <w:rPr>
          <w:rFonts w:ascii="inherit" w:hAnsi="inherit"/>
          <w:color w:val="404750"/>
          <w:bdr w:val="none" w:sz="0" w:space="0" w:color="auto" w:frame="1"/>
          <w:lang w:val="ru-RU"/>
        </w:rPr>
      </w:pPr>
      <w:r w:rsidRPr="00352723">
        <w:rPr>
          <w:rFonts w:ascii="inherit" w:hAnsi="inherit"/>
          <w:color w:val="404750"/>
          <w:bdr w:val="none" w:sz="0" w:space="0" w:color="auto" w:frame="1"/>
          <w:lang w:val="ru-RU"/>
        </w:rPr>
        <w:t> Основная идея централизованных баз данных заключается в том, что один все данные хранятся в одном месте определенной сети. Поскольку резервность данных часто не предусмотрено, при ее потере возобновление практически невозможно и его приходится делать вручную.</w:t>
      </w:r>
    </w:p>
    <w:p w14:paraId="1CD7AF87" w14:textId="19757DA0" w:rsidR="005C79DF" w:rsidRDefault="005C79DF" w:rsidP="00EE33F2">
      <w:pPr>
        <w:rPr>
          <w:rFonts w:asciiTheme="minorHAnsi" w:hAnsiTheme="minorHAnsi"/>
          <w:color w:val="404750"/>
        </w:rPr>
      </w:pPr>
    </w:p>
    <w:p w14:paraId="4B6123B6" w14:textId="4D23FECC" w:rsidR="005C79DF" w:rsidRDefault="00E83A8E" w:rsidP="00E83A8E">
      <w:pPr>
        <w:pStyle w:val="a6"/>
        <w:spacing w:before="0" w:beforeAutospacing="0" w:after="0" w:afterAutospacing="0"/>
        <w:textAlignment w:val="baseline"/>
        <w:rPr>
          <w:rFonts w:ascii="inherit" w:hAnsi="inherit"/>
          <w:color w:val="404750"/>
          <w:bdr w:val="none" w:sz="0" w:space="0" w:color="auto" w:frame="1"/>
          <w:lang w:val="ru-RU"/>
        </w:rPr>
      </w:pPr>
      <w:r w:rsidRPr="00E83A8E">
        <w:rPr>
          <w:rFonts w:ascii="inherit" w:hAnsi="inherit"/>
          <w:color w:val="404750"/>
          <w:bdr w:val="none" w:sz="0" w:space="0" w:color="auto" w:frame="1"/>
          <w:lang w:val="ru-RU"/>
        </w:rPr>
        <w:t>Централизованные базы данных подвержены риску взломов и утечки данных. Обычно конфигурация данных настолько слаба, что злоумышленники могут легко ее использовать в своих целях. Очень часто нет необходимости использовать сложные подходы к взлому из-за изначально небезопасной базы данных. Даже при наличии системы защиты можно использовать метод перебора возможных решений для взлома слабых или дефолтных имен пользователей и паролей, прибегнуть к уязвимостям базы данных, применить SQL-инъекцию или украсть резервную копию. Результатом неправомерных действий может быть идентификация личности по хранимых данных, что GDPR рассматривает как грубое нарушение закона.</w:t>
      </w:r>
    </w:p>
    <w:p w14:paraId="78F2AC2D" w14:textId="10C432E9" w:rsidR="00B43AA0" w:rsidRDefault="00B43AA0" w:rsidP="00E83A8E">
      <w:pPr>
        <w:pStyle w:val="a6"/>
        <w:spacing w:before="0" w:beforeAutospacing="0" w:after="0" w:afterAutospacing="0"/>
        <w:textAlignment w:val="baseline"/>
        <w:rPr>
          <w:rFonts w:ascii="inherit" w:hAnsi="inherit"/>
          <w:color w:val="404750"/>
          <w:bdr w:val="none" w:sz="0" w:space="0" w:color="auto" w:frame="1"/>
          <w:lang w:val="ru-RU"/>
        </w:rPr>
      </w:pPr>
    </w:p>
    <w:p w14:paraId="51E1D229" w14:textId="5F21E499" w:rsidR="00B43AA0" w:rsidRPr="008F3217" w:rsidRDefault="00B43AA0" w:rsidP="00E83A8E">
      <w:pPr>
        <w:pStyle w:val="a6"/>
        <w:spacing w:before="0" w:beforeAutospacing="0" w:after="0" w:afterAutospacing="0"/>
        <w:textAlignment w:val="baseline"/>
        <w:rPr>
          <w:rFonts w:ascii="inherit" w:hAnsi="inherit"/>
          <w:color w:val="404750"/>
          <w:bdr w:val="none" w:sz="0" w:space="0" w:color="auto" w:frame="1"/>
          <w:lang w:val="ru-RU"/>
        </w:rPr>
      </w:pPr>
      <w:r w:rsidRPr="008F3217">
        <w:rPr>
          <w:rFonts w:ascii="inherit" w:hAnsi="inherit"/>
          <w:color w:val="404750"/>
          <w:bdr w:val="none" w:sz="0" w:space="0" w:color="auto" w:frame="1"/>
          <w:lang w:val="ru-RU"/>
        </w:rPr>
        <w:t>Используя слабо защищенную базу данных, бизнес не может гарантировать безопасность пользовательских данных. GDPR очень строг в отношении защиты данных и вероятность нарушений ставит компанию под угрозу. Даже при соблюдении законов, одна успешная хакерская атака может обойтись в миллионные штрафы и поставить бизнес в опасность.</w:t>
      </w:r>
    </w:p>
    <w:p w14:paraId="324BAD1B" w14:textId="1C3CB163" w:rsidR="00431074" w:rsidRPr="008F3217" w:rsidRDefault="00431074" w:rsidP="00E83A8E">
      <w:pPr>
        <w:pStyle w:val="a6"/>
        <w:spacing w:before="0" w:beforeAutospacing="0" w:after="0" w:afterAutospacing="0"/>
        <w:textAlignment w:val="baseline"/>
        <w:rPr>
          <w:rFonts w:ascii="inherit" w:hAnsi="inherit"/>
          <w:color w:val="404750"/>
          <w:bdr w:val="none" w:sz="0" w:space="0" w:color="auto" w:frame="1"/>
          <w:lang w:val="ru-RU"/>
        </w:rPr>
      </w:pPr>
    </w:p>
    <w:p w14:paraId="5F6DEEDE" w14:textId="7E2B23F2" w:rsidR="00431074" w:rsidRDefault="00431074" w:rsidP="00E83A8E">
      <w:pPr>
        <w:pStyle w:val="a6"/>
        <w:spacing w:before="0" w:beforeAutospacing="0" w:after="0" w:afterAutospacing="0"/>
        <w:textAlignment w:val="baseline"/>
        <w:rPr>
          <w:rFonts w:ascii="inherit" w:hAnsi="inherit"/>
          <w:color w:val="404750"/>
          <w:bdr w:val="none" w:sz="0" w:space="0" w:color="auto" w:frame="1"/>
          <w:lang w:val="ru-RU"/>
        </w:rPr>
      </w:pPr>
    </w:p>
    <w:p w14:paraId="580F09E0" w14:textId="0A8D389F" w:rsidR="000340B4" w:rsidRPr="00030F8E" w:rsidRDefault="000340B4" w:rsidP="00E83A8E">
      <w:pPr>
        <w:pStyle w:val="a6"/>
        <w:spacing w:before="0" w:beforeAutospacing="0" w:after="0" w:afterAutospacing="0"/>
        <w:textAlignment w:val="baseline"/>
        <w:rPr>
          <w:rFonts w:ascii="inherit" w:hAnsi="inherit"/>
          <w:b/>
          <w:bCs/>
          <w:color w:val="404750"/>
          <w:bdr w:val="none" w:sz="0" w:space="0" w:color="auto" w:frame="1"/>
          <w:lang w:val="ru-RU"/>
        </w:rPr>
      </w:pPr>
      <w:r w:rsidRPr="00030F8E">
        <w:rPr>
          <w:rFonts w:ascii="inherit" w:hAnsi="inherit"/>
          <w:b/>
          <w:bCs/>
          <w:color w:val="404750"/>
          <w:bdr w:val="none" w:sz="0" w:space="0" w:color="auto" w:frame="1"/>
          <w:lang w:val="ru-RU"/>
        </w:rPr>
        <w:t xml:space="preserve">Децентрализованное хранение с использованием </w:t>
      </w:r>
      <w:r w:rsidRPr="00030F8E">
        <w:rPr>
          <w:rFonts w:ascii="inherit" w:hAnsi="inherit"/>
          <w:b/>
          <w:bCs/>
          <w:color w:val="404750"/>
          <w:bdr w:val="none" w:sz="0" w:space="0" w:color="auto" w:frame="1"/>
        </w:rPr>
        <w:t>block</w:t>
      </w:r>
      <w:r w:rsidRPr="00030F8E">
        <w:rPr>
          <w:rFonts w:ascii="inherit" w:hAnsi="inherit"/>
          <w:b/>
          <w:bCs/>
          <w:color w:val="404750"/>
          <w:bdr w:val="none" w:sz="0" w:space="0" w:color="auto" w:frame="1"/>
          <w:lang w:val="ru-RU"/>
        </w:rPr>
        <w:t>-</w:t>
      </w:r>
      <w:r w:rsidRPr="00030F8E">
        <w:rPr>
          <w:rFonts w:ascii="inherit" w:hAnsi="inherit"/>
          <w:b/>
          <w:bCs/>
          <w:color w:val="404750"/>
          <w:bdr w:val="none" w:sz="0" w:space="0" w:color="auto" w:frame="1"/>
        </w:rPr>
        <w:t>chain</w:t>
      </w:r>
      <w:r w:rsidRPr="00030F8E">
        <w:rPr>
          <w:rFonts w:ascii="inherit" w:hAnsi="inherit"/>
          <w:b/>
          <w:bCs/>
          <w:color w:val="404750"/>
          <w:bdr w:val="none" w:sz="0" w:space="0" w:color="auto" w:frame="1"/>
          <w:lang w:val="ru-RU"/>
        </w:rPr>
        <w:t>:</w:t>
      </w:r>
    </w:p>
    <w:p w14:paraId="66C1DE1D" w14:textId="6C390B11" w:rsidR="000340B4" w:rsidRDefault="000340B4" w:rsidP="00E83A8E">
      <w:pPr>
        <w:pStyle w:val="a6"/>
        <w:spacing w:before="0" w:beforeAutospacing="0" w:after="0" w:afterAutospacing="0"/>
        <w:textAlignment w:val="baseline"/>
        <w:rPr>
          <w:rFonts w:ascii="inherit" w:hAnsi="inherit"/>
          <w:color w:val="404750"/>
          <w:bdr w:val="none" w:sz="0" w:space="0" w:color="auto" w:frame="1"/>
        </w:rPr>
      </w:pPr>
    </w:p>
    <w:p w14:paraId="6D6316FB" w14:textId="77777777" w:rsidR="00691E0A" w:rsidRPr="004F3EFF" w:rsidRDefault="00691E0A" w:rsidP="00691E0A">
      <w:pPr>
        <w:pStyle w:val="a6"/>
        <w:spacing w:before="0" w:beforeAutospacing="0" w:after="0" w:afterAutospacing="0"/>
        <w:textAlignment w:val="baseline"/>
        <w:rPr>
          <w:rFonts w:ascii="inherit" w:hAnsi="inherit"/>
          <w:color w:val="404750"/>
          <w:bdr w:val="none" w:sz="0" w:space="0" w:color="auto" w:frame="1"/>
          <w:lang w:val="ru-RU"/>
        </w:rPr>
      </w:pPr>
      <w:r w:rsidRPr="004F3EFF">
        <w:rPr>
          <w:rFonts w:ascii="inherit" w:hAnsi="inherit"/>
          <w:color w:val="404750"/>
          <w:bdr w:val="none" w:sz="0" w:space="0" w:color="auto" w:frame="1"/>
          <w:lang w:val="ru-RU"/>
        </w:rPr>
        <w:t>Децентрализованные решения – более надежный и безопасный способ взаимодействия с пользовательскими данными. Если централизованное хранилище использует единый сервер для хранения данных, в децентрализованном информация хранится на нескольких серверах, за счет чего данные можно легко восстановить. И когда мы добавляем блокчейн, мы получаем безопасное хранилище для любых данных, включая данные ваших пользователей и клиентов.</w:t>
      </w:r>
    </w:p>
    <w:p w14:paraId="636A8190" w14:textId="34BEFF8C" w:rsidR="00030F8E" w:rsidRPr="004F3EFF" w:rsidRDefault="00030F8E" w:rsidP="00E83A8E">
      <w:pPr>
        <w:pStyle w:val="a6"/>
        <w:spacing w:before="0" w:beforeAutospacing="0" w:after="0" w:afterAutospacing="0"/>
        <w:textAlignment w:val="baseline"/>
        <w:rPr>
          <w:rFonts w:ascii="inherit" w:hAnsi="inherit"/>
          <w:color w:val="404750"/>
          <w:bdr w:val="none" w:sz="0" w:space="0" w:color="auto" w:frame="1"/>
          <w:lang w:val="ru-RU"/>
        </w:rPr>
      </w:pPr>
    </w:p>
    <w:p w14:paraId="1E5E64F8" w14:textId="2DBBBBFB" w:rsidR="00691E0A" w:rsidRPr="004F3EFF" w:rsidRDefault="004F3EFF" w:rsidP="00E83A8E">
      <w:pPr>
        <w:pStyle w:val="a6"/>
        <w:spacing w:before="0" w:beforeAutospacing="0" w:after="0" w:afterAutospacing="0"/>
        <w:textAlignment w:val="baseline"/>
        <w:rPr>
          <w:rFonts w:ascii="inherit" w:hAnsi="inherit"/>
          <w:color w:val="404750"/>
          <w:bdr w:val="none" w:sz="0" w:space="0" w:color="auto" w:frame="1"/>
          <w:lang w:val="ru-RU"/>
        </w:rPr>
      </w:pPr>
      <w:r w:rsidRPr="004F3EFF">
        <w:rPr>
          <w:rFonts w:ascii="inherit" w:hAnsi="inherit"/>
          <w:color w:val="404750"/>
          <w:bdr w:val="none" w:sz="0" w:space="0" w:color="auto" w:frame="1"/>
          <w:lang w:val="ru-RU"/>
        </w:rPr>
        <w:t>Анонимность пользователей и защита данных лежат в основе как GDPR, так и блокчейна. Последний призван быть безопасным и скрытым. Открытые и закрытые ключи позволяют участникам отправлять и получать данные почти с абсолютной анонимностью. Публичный ключ не привязан к конкретному человеку, а информация хэшируется, поэтому не может быть использована для идентификации его личности. В этом плане блокчейн соответствует требованиям GDPR.</w:t>
      </w:r>
    </w:p>
    <w:p w14:paraId="162755D7" w14:textId="7C136984" w:rsidR="004F3EFF" w:rsidRDefault="004F3EFF" w:rsidP="00E83A8E">
      <w:pPr>
        <w:pStyle w:val="a6"/>
        <w:spacing w:before="0" w:beforeAutospacing="0" w:after="0" w:afterAutospacing="0"/>
        <w:textAlignment w:val="baseline"/>
        <w:rPr>
          <w:rFonts w:ascii="inherit" w:hAnsi="inherit"/>
          <w:color w:val="404750"/>
          <w:bdr w:val="none" w:sz="0" w:space="0" w:color="auto" w:frame="1"/>
          <w:lang w:val="ru-RU"/>
        </w:rPr>
      </w:pPr>
    </w:p>
    <w:p w14:paraId="0FC3DF72" w14:textId="685FE0DE" w:rsidR="00FC0D1E" w:rsidRDefault="00FC0D1E" w:rsidP="00E83A8E">
      <w:pPr>
        <w:pStyle w:val="a6"/>
        <w:spacing w:before="0" w:beforeAutospacing="0" w:after="0" w:afterAutospacing="0"/>
        <w:textAlignment w:val="baseline"/>
        <w:rPr>
          <w:rFonts w:ascii="inherit" w:hAnsi="inherit"/>
          <w:color w:val="404750"/>
          <w:bdr w:val="none" w:sz="0" w:space="0" w:color="auto" w:frame="1"/>
          <w:lang w:val="ru-RU"/>
        </w:rPr>
      </w:pPr>
    </w:p>
    <w:p w14:paraId="4142974A" w14:textId="32B2C847" w:rsidR="00FC0D1E" w:rsidRDefault="00FC0D1E" w:rsidP="00E83A8E">
      <w:pPr>
        <w:pStyle w:val="a6"/>
        <w:spacing w:before="0" w:beforeAutospacing="0" w:after="0" w:afterAutospacing="0"/>
        <w:textAlignment w:val="baseline"/>
        <w:rPr>
          <w:rFonts w:ascii="inherit" w:hAnsi="inherit"/>
          <w:color w:val="404750"/>
          <w:bdr w:val="none" w:sz="0" w:space="0" w:color="auto" w:frame="1"/>
          <w:lang w:val="ru-RU"/>
        </w:rPr>
      </w:pPr>
    </w:p>
    <w:p w14:paraId="0FBA0FD5" w14:textId="6FFE0F28" w:rsidR="00FC0D1E" w:rsidRDefault="00FC0D1E" w:rsidP="00E83A8E">
      <w:pPr>
        <w:pStyle w:val="a6"/>
        <w:spacing w:before="0" w:beforeAutospacing="0" w:after="0" w:afterAutospacing="0"/>
        <w:textAlignment w:val="baseline"/>
        <w:rPr>
          <w:rFonts w:ascii="inherit" w:hAnsi="inherit"/>
          <w:color w:val="404750"/>
          <w:bdr w:val="none" w:sz="0" w:space="0" w:color="auto" w:frame="1"/>
          <w:lang w:val="ru-RU"/>
        </w:rPr>
      </w:pPr>
    </w:p>
    <w:p w14:paraId="009854E4" w14:textId="23F57274" w:rsidR="00FC0D1E" w:rsidRPr="005916B2" w:rsidRDefault="00FC0D1E" w:rsidP="00E83A8E">
      <w:pPr>
        <w:pStyle w:val="a6"/>
        <w:spacing w:before="0" w:beforeAutospacing="0" w:after="0" w:afterAutospacing="0"/>
        <w:textAlignment w:val="baseline"/>
        <w:rPr>
          <w:rFonts w:ascii="inherit" w:hAnsi="inherit"/>
          <w:color w:val="404750"/>
          <w:bdr w:val="none" w:sz="0" w:space="0" w:color="auto" w:frame="1"/>
          <w:lang w:val="ru-RU"/>
        </w:rPr>
      </w:pPr>
      <w:r w:rsidRPr="005916B2">
        <w:rPr>
          <w:rFonts w:ascii="inherit" w:hAnsi="inherit"/>
          <w:color w:val="404750"/>
          <w:bdr w:val="none" w:sz="0" w:space="0" w:color="auto" w:frame="1"/>
          <w:lang w:val="ru-RU"/>
        </w:rPr>
        <w:t>Увеличение безопасности – еще одно преимущество, которое следует принимать во внимание. Само понятие блокчейна подразумевает отсутствие единой уязвимости. Данные хранятся на многих нодах по всему миру, поэтому мы получаем распределенную систему без единой точки отказа. Компании, которые используют информацию с блокчейна, не будут работать под угрозой утечки данных. Вероятность сводится к минимуму, а то и вовсе равна нулю.</w:t>
      </w:r>
    </w:p>
    <w:p w14:paraId="1A349559" w14:textId="6E523C90" w:rsidR="00FC0D1E" w:rsidRPr="005916B2" w:rsidRDefault="00FC0D1E" w:rsidP="00E83A8E">
      <w:pPr>
        <w:pStyle w:val="a6"/>
        <w:spacing w:before="0" w:beforeAutospacing="0" w:after="0" w:afterAutospacing="0"/>
        <w:textAlignment w:val="baseline"/>
        <w:rPr>
          <w:rFonts w:ascii="inherit" w:hAnsi="inherit"/>
          <w:color w:val="404750"/>
          <w:bdr w:val="none" w:sz="0" w:space="0" w:color="auto" w:frame="1"/>
          <w:lang w:val="ru-RU"/>
        </w:rPr>
      </w:pPr>
    </w:p>
    <w:p w14:paraId="63EA5A38" w14:textId="3DBBEDB5" w:rsidR="00FC0D1E" w:rsidRPr="005916B2" w:rsidRDefault="005827A5" w:rsidP="00E83A8E">
      <w:pPr>
        <w:pStyle w:val="a6"/>
        <w:spacing w:before="0" w:beforeAutospacing="0" w:after="0" w:afterAutospacing="0"/>
        <w:textAlignment w:val="baseline"/>
        <w:rPr>
          <w:rFonts w:ascii="inherit" w:hAnsi="inherit"/>
          <w:color w:val="404750"/>
          <w:bdr w:val="none" w:sz="0" w:space="0" w:color="auto" w:frame="1"/>
          <w:lang w:val="ru-RU"/>
        </w:rPr>
      </w:pPr>
      <w:r w:rsidRPr="005916B2">
        <w:rPr>
          <w:rFonts w:ascii="inherit" w:hAnsi="inherit"/>
          <w:color w:val="404750"/>
          <w:bdr w:val="none" w:sz="0" w:space="0" w:color="auto" w:frame="1"/>
          <w:lang w:val="ru-RU"/>
        </w:rPr>
        <w:t>Практически неограниченная масштабируемость является главным основанных на блокчейне систем. Если при использовании централизованной базы данных вам нужно докупать новые сервера, то используя блокчейн, вам не придется выделять средства на их покупку и обслуживание. В результате, стоимость сервиса для вашей компании значительно снижается.</w:t>
      </w:r>
    </w:p>
    <w:p w14:paraId="6D9B142A" w14:textId="7161802C" w:rsidR="00B4211E" w:rsidRPr="005916B2" w:rsidRDefault="00B4211E" w:rsidP="00E83A8E">
      <w:pPr>
        <w:pStyle w:val="a6"/>
        <w:spacing w:before="0" w:beforeAutospacing="0" w:after="0" w:afterAutospacing="0"/>
        <w:textAlignment w:val="baseline"/>
        <w:rPr>
          <w:rFonts w:ascii="inherit" w:hAnsi="inherit"/>
          <w:color w:val="404750"/>
          <w:bdr w:val="none" w:sz="0" w:space="0" w:color="auto" w:frame="1"/>
          <w:lang w:val="ru-RU"/>
        </w:rPr>
      </w:pPr>
    </w:p>
    <w:p w14:paraId="50C71308" w14:textId="77777777" w:rsidR="00B4211E" w:rsidRPr="005916B2" w:rsidRDefault="00B4211E" w:rsidP="00B4211E">
      <w:pPr>
        <w:pStyle w:val="a6"/>
        <w:spacing w:before="0" w:beforeAutospacing="0" w:after="0" w:afterAutospacing="0"/>
        <w:textAlignment w:val="baseline"/>
        <w:rPr>
          <w:rFonts w:ascii="inherit" w:hAnsi="inherit"/>
          <w:color w:val="404750"/>
          <w:bdr w:val="none" w:sz="0" w:space="0" w:color="auto" w:frame="1"/>
          <w:lang w:val="ru-RU"/>
        </w:rPr>
      </w:pPr>
      <w:r w:rsidRPr="005916B2">
        <w:rPr>
          <w:rFonts w:ascii="inherit" w:hAnsi="inherit"/>
          <w:color w:val="404750"/>
          <w:bdr w:val="none" w:sz="0" w:space="0" w:color="auto" w:frame="1"/>
          <w:lang w:val="ru-RU"/>
        </w:rPr>
        <w:t>Различные блокчейн-компании предоставляют инструменты для создания собственных решений на основе блокчейна. Необходимо только нанять квалифицированных специалистов и оплатить транзакции. Цена разработки подобного решения может быть ниже цены обеспечения работы централизованного хранилища. Более того, оно нивелирует риск взломов, которые могут привести к многомиллионным штрафам.</w:t>
      </w:r>
    </w:p>
    <w:p w14:paraId="0031E942" w14:textId="77777777" w:rsidR="00B4211E" w:rsidRPr="005916B2" w:rsidRDefault="00B4211E" w:rsidP="00B4211E">
      <w:pPr>
        <w:pStyle w:val="a6"/>
        <w:spacing w:before="0" w:beforeAutospacing="0" w:after="0" w:afterAutospacing="0"/>
        <w:textAlignment w:val="baseline"/>
        <w:rPr>
          <w:rFonts w:ascii="inherit" w:hAnsi="inherit"/>
          <w:color w:val="404750"/>
          <w:bdr w:val="none" w:sz="0" w:space="0" w:color="auto" w:frame="1"/>
          <w:lang w:val="ru-RU"/>
        </w:rPr>
      </w:pPr>
      <w:r w:rsidRPr="005916B2">
        <w:rPr>
          <w:rFonts w:ascii="inherit" w:hAnsi="inherit"/>
          <w:color w:val="404750"/>
          <w:bdr w:val="none" w:sz="0" w:space="0" w:color="auto" w:frame="1"/>
          <w:lang w:val="ru-RU"/>
        </w:rPr>
        <w:t>Emercoin также работает над решением, которое поможет компаниям соответствовать требованиям GDPR. Блокчейн предоставляет более надежные решения для сбора, хранения и безопасности данных, поскольку он соответствует принципам «privacy by design», представленным в Общем регламенте защиты данных.</w:t>
      </w:r>
    </w:p>
    <w:p w14:paraId="447F0DFF" w14:textId="77777777" w:rsidR="00B4211E" w:rsidRPr="00FC0D1E" w:rsidRDefault="00B4211E" w:rsidP="00E83A8E">
      <w:pPr>
        <w:pStyle w:val="a6"/>
        <w:spacing w:before="0" w:beforeAutospacing="0" w:after="0" w:afterAutospacing="0"/>
        <w:textAlignment w:val="baseline"/>
        <w:rPr>
          <w:rFonts w:ascii="inherit" w:hAnsi="inherit"/>
          <w:color w:val="404750"/>
          <w:bdr w:val="none" w:sz="0" w:space="0" w:color="auto" w:frame="1"/>
          <w:lang w:val="ru-RU"/>
        </w:rPr>
      </w:pPr>
    </w:p>
    <w:sectPr w:rsidR="00B4211E" w:rsidRPr="00FC0D1E">
      <w:pgSz w:w="11909" w:h="16834"/>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1D0CD" w14:textId="77777777" w:rsidR="00461484" w:rsidRDefault="00461484">
      <w:pPr>
        <w:spacing w:line="240" w:lineRule="auto"/>
      </w:pPr>
      <w:r>
        <w:separator/>
      </w:r>
    </w:p>
  </w:endnote>
  <w:endnote w:type="continuationSeparator" w:id="0">
    <w:p w14:paraId="6C126825" w14:textId="77777777" w:rsidR="00461484" w:rsidRDefault="00461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FF2BB" w14:textId="77777777" w:rsidR="00E125D9" w:rsidRDefault="00F57795">
    <w:pPr>
      <w:jc w:val="right"/>
    </w:pPr>
    <w:r>
      <w:fldChar w:fldCharType="begin"/>
    </w:r>
    <w:r>
      <w:instrText>PAGE</w:instrText>
    </w:r>
    <w:r>
      <w:fldChar w:fldCharType="separate"/>
    </w:r>
    <w:r w:rsidR="00653BC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EBC7C" w14:textId="77777777" w:rsidR="00E125D9" w:rsidRDefault="00E125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0DC9" w14:textId="77777777" w:rsidR="00461484" w:rsidRDefault="00461484">
      <w:pPr>
        <w:spacing w:line="240" w:lineRule="auto"/>
      </w:pPr>
      <w:r>
        <w:separator/>
      </w:r>
    </w:p>
  </w:footnote>
  <w:footnote w:type="continuationSeparator" w:id="0">
    <w:p w14:paraId="37E56D9D" w14:textId="77777777" w:rsidR="00461484" w:rsidRDefault="004614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533AD"/>
    <w:multiLevelType w:val="multilevel"/>
    <w:tmpl w:val="7332A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96BD2"/>
    <w:multiLevelType w:val="multilevel"/>
    <w:tmpl w:val="57446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F02CB6"/>
    <w:multiLevelType w:val="multilevel"/>
    <w:tmpl w:val="F6280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A262D4"/>
    <w:multiLevelType w:val="multilevel"/>
    <w:tmpl w:val="51A6B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856557"/>
    <w:multiLevelType w:val="hybridMultilevel"/>
    <w:tmpl w:val="FD36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A36D83"/>
    <w:multiLevelType w:val="multilevel"/>
    <w:tmpl w:val="16F06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FB7A35"/>
    <w:multiLevelType w:val="hybridMultilevel"/>
    <w:tmpl w:val="21BC8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82D7F"/>
    <w:multiLevelType w:val="multilevel"/>
    <w:tmpl w:val="4252BE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6D5A6E"/>
    <w:multiLevelType w:val="multilevel"/>
    <w:tmpl w:val="FA785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116EE0"/>
    <w:multiLevelType w:val="multilevel"/>
    <w:tmpl w:val="A420D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8C41A9"/>
    <w:multiLevelType w:val="multilevel"/>
    <w:tmpl w:val="51BAD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512817"/>
    <w:multiLevelType w:val="multilevel"/>
    <w:tmpl w:val="7BD2B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B671C44"/>
    <w:multiLevelType w:val="multilevel"/>
    <w:tmpl w:val="2800E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9D61A2"/>
    <w:multiLevelType w:val="multilevel"/>
    <w:tmpl w:val="8BD29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BE20D2"/>
    <w:multiLevelType w:val="hybridMultilevel"/>
    <w:tmpl w:val="E056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72E9A"/>
    <w:multiLevelType w:val="multilevel"/>
    <w:tmpl w:val="F0267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E17AA6"/>
    <w:multiLevelType w:val="multilevel"/>
    <w:tmpl w:val="EBF83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E757DF"/>
    <w:multiLevelType w:val="multilevel"/>
    <w:tmpl w:val="C0B8D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2AC4B64"/>
    <w:multiLevelType w:val="multilevel"/>
    <w:tmpl w:val="1FCC3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85D3F"/>
    <w:multiLevelType w:val="hybridMultilevel"/>
    <w:tmpl w:val="7812E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952AA"/>
    <w:multiLevelType w:val="multilevel"/>
    <w:tmpl w:val="2E340A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AC0436A"/>
    <w:multiLevelType w:val="multilevel"/>
    <w:tmpl w:val="D38EA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1E14FAE"/>
    <w:multiLevelType w:val="multilevel"/>
    <w:tmpl w:val="F6D87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6D84565"/>
    <w:multiLevelType w:val="hybridMultilevel"/>
    <w:tmpl w:val="7420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82A24"/>
    <w:multiLevelType w:val="multilevel"/>
    <w:tmpl w:val="DB84D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B450414"/>
    <w:multiLevelType w:val="hybridMultilevel"/>
    <w:tmpl w:val="1E34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37437D"/>
    <w:multiLevelType w:val="multilevel"/>
    <w:tmpl w:val="BF50E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20C7551"/>
    <w:multiLevelType w:val="multilevel"/>
    <w:tmpl w:val="FC866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2D3542D"/>
    <w:multiLevelType w:val="multilevel"/>
    <w:tmpl w:val="22F20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304337F"/>
    <w:multiLevelType w:val="hybridMultilevel"/>
    <w:tmpl w:val="5AEA4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523F98"/>
    <w:multiLevelType w:val="multilevel"/>
    <w:tmpl w:val="EA2AE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D1318F5"/>
    <w:multiLevelType w:val="multilevel"/>
    <w:tmpl w:val="6D6E9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6"/>
  </w:num>
  <w:num w:numId="3">
    <w:abstractNumId w:val="5"/>
  </w:num>
  <w:num w:numId="4">
    <w:abstractNumId w:val="11"/>
  </w:num>
  <w:num w:numId="5">
    <w:abstractNumId w:val="3"/>
  </w:num>
  <w:num w:numId="6">
    <w:abstractNumId w:val="18"/>
  </w:num>
  <w:num w:numId="7">
    <w:abstractNumId w:val="17"/>
  </w:num>
  <w:num w:numId="8">
    <w:abstractNumId w:val="8"/>
  </w:num>
  <w:num w:numId="9">
    <w:abstractNumId w:val="0"/>
  </w:num>
  <w:num w:numId="10">
    <w:abstractNumId w:val="31"/>
  </w:num>
  <w:num w:numId="11">
    <w:abstractNumId w:val="13"/>
  </w:num>
  <w:num w:numId="12">
    <w:abstractNumId w:val="28"/>
  </w:num>
  <w:num w:numId="13">
    <w:abstractNumId w:val="9"/>
  </w:num>
  <w:num w:numId="14">
    <w:abstractNumId w:val="10"/>
  </w:num>
  <w:num w:numId="15">
    <w:abstractNumId w:val="27"/>
  </w:num>
  <w:num w:numId="16">
    <w:abstractNumId w:val="22"/>
  </w:num>
  <w:num w:numId="17">
    <w:abstractNumId w:val="21"/>
  </w:num>
  <w:num w:numId="18">
    <w:abstractNumId w:val="2"/>
  </w:num>
  <w:num w:numId="19">
    <w:abstractNumId w:val="15"/>
  </w:num>
  <w:num w:numId="20">
    <w:abstractNumId w:val="24"/>
  </w:num>
  <w:num w:numId="21">
    <w:abstractNumId w:val="30"/>
  </w:num>
  <w:num w:numId="22">
    <w:abstractNumId w:val="26"/>
  </w:num>
  <w:num w:numId="23">
    <w:abstractNumId w:val="7"/>
  </w:num>
  <w:num w:numId="24">
    <w:abstractNumId w:val="20"/>
  </w:num>
  <w:num w:numId="25">
    <w:abstractNumId w:val="12"/>
  </w:num>
  <w:num w:numId="26">
    <w:abstractNumId w:val="29"/>
  </w:num>
  <w:num w:numId="27">
    <w:abstractNumId w:val="14"/>
  </w:num>
  <w:num w:numId="28">
    <w:abstractNumId w:val="6"/>
  </w:num>
  <w:num w:numId="29">
    <w:abstractNumId w:val="4"/>
  </w:num>
  <w:num w:numId="30">
    <w:abstractNumId w:val="25"/>
  </w:num>
  <w:num w:numId="31">
    <w:abstractNumId w:val="19"/>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5D9"/>
    <w:rsid w:val="00030F8E"/>
    <w:rsid w:val="00032C63"/>
    <w:rsid w:val="000340B4"/>
    <w:rsid w:val="000518F4"/>
    <w:rsid w:val="00095E63"/>
    <w:rsid w:val="000A209D"/>
    <w:rsid w:val="000B6892"/>
    <w:rsid w:val="000D2D9D"/>
    <w:rsid w:val="000E11C6"/>
    <w:rsid w:val="000F11AF"/>
    <w:rsid w:val="000F6B91"/>
    <w:rsid w:val="00116307"/>
    <w:rsid w:val="0012741E"/>
    <w:rsid w:val="00133028"/>
    <w:rsid w:val="00160C69"/>
    <w:rsid w:val="00193D47"/>
    <w:rsid w:val="0019406F"/>
    <w:rsid w:val="0019628D"/>
    <w:rsid w:val="001C5516"/>
    <w:rsid w:val="001D0FAD"/>
    <w:rsid w:val="00231181"/>
    <w:rsid w:val="002337F6"/>
    <w:rsid w:val="00252A6C"/>
    <w:rsid w:val="00256AB6"/>
    <w:rsid w:val="00290233"/>
    <w:rsid w:val="002C1BCB"/>
    <w:rsid w:val="002D638C"/>
    <w:rsid w:val="002E79E0"/>
    <w:rsid w:val="003312AF"/>
    <w:rsid w:val="00343B60"/>
    <w:rsid w:val="0035205D"/>
    <w:rsid w:val="00352723"/>
    <w:rsid w:val="0036434C"/>
    <w:rsid w:val="00387C59"/>
    <w:rsid w:val="003D4B0D"/>
    <w:rsid w:val="003E1B9B"/>
    <w:rsid w:val="00413169"/>
    <w:rsid w:val="00422A7E"/>
    <w:rsid w:val="004301FE"/>
    <w:rsid w:val="00431074"/>
    <w:rsid w:val="00432C5E"/>
    <w:rsid w:val="00444DD3"/>
    <w:rsid w:val="004549BC"/>
    <w:rsid w:val="00461484"/>
    <w:rsid w:val="00463419"/>
    <w:rsid w:val="00464F91"/>
    <w:rsid w:val="00493390"/>
    <w:rsid w:val="00493D1C"/>
    <w:rsid w:val="004A2753"/>
    <w:rsid w:val="004A2822"/>
    <w:rsid w:val="004B425A"/>
    <w:rsid w:val="004D6ED5"/>
    <w:rsid w:val="004F3EFF"/>
    <w:rsid w:val="004F5EC4"/>
    <w:rsid w:val="00506BDB"/>
    <w:rsid w:val="005120B3"/>
    <w:rsid w:val="00514DB4"/>
    <w:rsid w:val="00515FFF"/>
    <w:rsid w:val="00537582"/>
    <w:rsid w:val="00567B24"/>
    <w:rsid w:val="005827A5"/>
    <w:rsid w:val="0059069E"/>
    <w:rsid w:val="005916B2"/>
    <w:rsid w:val="005937B9"/>
    <w:rsid w:val="005C79DF"/>
    <w:rsid w:val="005D0150"/>
    <w:rsid w:val="005E193D"/>
    <w:rsid w:val="005E4C4C"/>
    <w:rsid w:val="005E733B"/>
    <w:rsid w:val="00614B18"/>
    <w:rsid w:val="00616665"/>
    <w:rsid w:val="00626926"/>
    <w:rsid w:val="006363EF"/>
    <w:rsid w:val="00653BCD"/>
    <w:rsid w:val="006602A4"/>
    <w:rsid w:val="0066323C"/>
    <w:rsid w:val="00691E0A"/>
    <w:rsid w:val="00695580"/>
    <w:rsid w:val="006B31FD"/>
    <w:rsid w:val="006B73EF"/>
    <w:rsid w:val="006C1932"/>
    <w:rsid w:val="006C3F44"/>
    <w:rsid w:val="006C4EB5"/>
    <w:rsid w:val="00712B5A"/>
    <w:rsid w:val="0073434A"/>
    <w:rsid w:val="00741594"/>
    <w:rsid w:val="00745FCF"/>
    <w:rsid w:val="00762AB0"/>
    <w:rsid w:val="00781DF9"/>
    <w:rsid w:val="00782A4A"/>
    <w:rsid w:val="00794A20"/>
    <w:rsid w:val="007A5283"/>
    <w:rsid w:val="007B11D8"/>
    <w:rsid w:val="007B2851"/>
    <w:rsid w:val="007C02B9"/>
    <w:rsid w:val="007F70E0"/>
    <w:rsid w:val="00805805"/>
    <w:rsid w:val="00813261"/>
    <w:rsid w:val="00814BA2"/>
    <w:rsid w:val="00822774"/>
    <w:rsid w:val="008261D6"/>
    <w:rsid w:val="00826203"/>
    <w:rsid w:val="008838F6"/>
    <w:rsid w:val="00891322"/>
    <w:rsid w:val="008A5A13"/>
    <w:rsid w:val="008A7F88"/>
    <w:rsid w:val="008B57F7"/>
    <w:rsid w:val="008C6C72"/>
    <w:rsid w:val="008F3217"/>
    <w:rsid w:val="00903691"/>
    <w:rsid w:val="00907782"/>
    <w:rsid w:val="00920EB9"/>
    <w:rsid w:val="00925944"/>
    <w:rsid w:val="009444BA"/>
    <w:rsid w:val="00954BDE"/>
    <w:rsid w:val="00956C2D"/>
    <w:rsid w:val="00963E3B"/>
    <w:rsid w:val="009A0409"/>
    <w:rsid w:val="009D42B5"/>
    <w:rsid w:val="00A45EA4"/>
    <w:rsid w:val="00A920B8"/>
    <w:rsid w:val="00AA1051"/>
    <w:rsid w:val="00AD5E5A"/>
    <w:rsid w:val="00B066A9"/>
    <w:rsid w:val="00B2233F"/>
    <w:rsid w:val="00B3620A"/>
    <w:rsid w:val="00B4211E"/>
    <w:rsid w:val="00B43AA0"/>
    <w:rsid w:val="00BA38F1"/>
    <w:rsid w:val="00BB1BF3"/>
    <w:rsid w:val="00BB29A2"/>
    <w:rsid w:val="00BC1EEB"/>
    <w:rsid w:val="00BE1775"/>
    <w:rsid w:val="00BF481E"/>
    <w:rsid w:val="00BF5452"/>
    <w:rsid w:val="00C00F69"/>
    <w:rsid w:val="00C054F6"/>
    <w:rsid w:val="00C4364B"/>
    <w:rsid w:val="00C46A6E"/>
    <w:rsid w:val="00C65CC6"/>
    <w:rsid w:val="00C6730A"/>
    <w:rsid w:val="00C87A9C"/>
    <w:rsid w:val="00CA7F21"/>
    <w:rsid w:val="00CB5AB1"/>
    <w:rsid w:val="00CC734E"/>
    <w:rsid w:val="00CE5495"/>
    <w:rsid w:val="00CE7AEA"/>
    <w:rsid w:val="00D07F95"/>
    <w:rsid w:val="00D3633E"/>
    <w:rsid w:val="00D36386"/>
    <w:rsid w:val="00D52CBB"/>
    <w:rsid w:val="00D56D2E"/>
    <w:rsid w:val="00D676AE"/>
    <w:rsid w:val="00D830F8"/>
    <w:rsid w:val="00D84434"/>
    <w:rsid w:val="00D87BD4"/>
    <w:rsid w:val="00DA72CF"/>
    <w:rsid w:val="00DD1281"/>
    <w:rsid w:val="00DE341F"/>
    <w:rsid w:val="00E0691A"/>
    <w:rsid w:val="00E125D9"/>
    <w:rsid w:val="00E17DEE"/>
    <w:rsid w:val="00E616BD"/>
    <w:rsid w:val="00E83A8E"/>
    <w:rsid w:val="00E875D0"/>
    <w:rsid w:val="00E947E2"/>
    <w:rsid w:val="00EB12FC"/>
    <w:rsid w:val="00EB55BA"/>
    <w:rsid w:val="00EC644C"/>
    <w:rsid w:val="00EE33F2"/>
    <w:rsid w:val="00EF27C0"/>
    <w:rsid w:val="00EF3641"/>
    <w:rsid w:val="00F30ED8"/>
    <w:rsid w:val="00F57795"/>
    <w:rsid w:val="00F610D4"/>
    <w:rsid w:val="00F927C1"/>
    <w:rsid w:val="00F940CE"/>
    <w:rsid w:val="00FC0D1E"/>
    <w:rsid w:val="00FD5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8554"/>
  <w15:docId w15:val="{36B8940C-B5EC-4E15-BA72-9AE0AF28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240"/>
      <w:jc w:val="center"/>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pPr>
  </w:style>
  <w:style w:type="paragraph" w:styleId="a5">
    <w:name w:val="List Paragraph"/>
    <w:basedOn w:val="a"/>
    <w:uiPriority w:val="34"/>
    <w:qFormat/>
    <w:rsid w:val="00CE5495"/>
    <w:pPr>
      <w:ind w:left="720"/>
      <w:contextualSpacing/>
    </w:pPr>
  </w:style>
  <w:style w:type="paragraph" w:styleId="a6">
    <w:name w:val="Normal (Web)"/>
    <w:basedOn w:val="a"/>
    <w:uiPriority w:val="99"/>
    <w:semiHidden/>
    <w:unhideWhenUsed/>
    <w:rsid w:val="00567B24"/>
    <w:pPr>
      <w:spacing w:before="100" w:beforeAutospacing="1" w:after="100" w:afterAutospacing="1"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0916">
      <w:bodyDiv w:val="1"/>
      <w:marLeft w:val="0"/>
      <w:marRight w:val="0"/>
      <w:marTop w:val="0"/>
      <w:marBottom w:val="0"/>
      <w:divBdr>
        <w:top w:val="none" w:sz="0" w:space="0" w:color="auto"/>
        <w:left w:val="none" w:sz="0" w:space="0" w:color="auto"/>
        <w:bottom w:val="none" w:sz="0" w:space="0" w:color="auto"/>
        <w:right w:val="none" w:sz="0" w:space="0" w:color="auto"/>
      </w:divBdr>
    </w:div>
    <w:div w:id="1000087471">
      <w:bodyDiv w:val="1"/>
      <w:marLeft w:val="0"/>
      <w:marRight w:val="0"/>
      <w:marTop w:val="0"/>
      <w:marBottom w:val="0"/>
      <w:divBdr>
        <w:top w:val="none" w:sz="0" w:space="0" w:color="auto"/>
        <w:left w:val="none" w:sz="0" w:space="0" w:color="auto"/>
        <w:bottom w:val="none" w:sz="0" w:space="0" w:color="auto"/>
        <w:right w:val="none" w:sz="0" w:space="0" w:color="auto"/>
      </w:divBdr>
    </w:div>
    <w:div w:id="1423526572">
      <w:bodyDiv w:val="1"/>
      <w:marLeft w:val="0"/>
      <w:marRight w:val="0"/>
      <w:marTop w:val="0"/>
      <w:marBottom w:val="0"/>
      <w:divBdr>
        <w:top w:val="none" w:sz="0" w:space="0" w:color="auto"/>
        <w:left w:val="none" w:sz="0" w:space="0" w:color="auto"/>
        <w:bottom w:val="none" w:sz="0" w:space="0" w:color="auto"/>
        <w:right w:val="none" w:sz="0" w:space="0" w:color="auto"/>
      </w:divBdr>
    </w:div>
    <w:div w:id="1589776792">
      <w:bodyDiv w:val="1"/>
      <w:marLeft w:val="0"/>
      <w:marRight w:val="0"/>
      <w:marTop w:val="0"/>
      <w:marBottom w:val="0"/>
      <w:divBdr>
        <w:top w:val="none" w:sz="0" w:space="0" w:color="auto"/>
        <w:left w:val="none" w:sz="0" w:space="0" w:color="auto"/>
        <w:bottom w:val="none" w:sz="0" w:space="0" w:color="auto"/>
        <w:right w:val="none" w:sz="0" w:space="0" w:color="auto"/>
      </w:divBdr>
    </w:div>
    <w:div w:id="1840072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1608E-8C29-4195-9024-C9DFD22C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666</Words>
  <Characters>3799</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Artiom Ciobanu</cp:lastModifiedBy>
  <cp:revision>183</cp:revision>
  <dcterms:created xsi:type="dcterms:W3CDTF">2021-09-10T12:06:00Z</dcterms:created>
  <dcterms:modified xsi:type="dcterms:W3CDTF">2021-09-12T08:58:00Z</dcterms:modified>
</cp:coreProperties>
</file>