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wp:inline distT="114300" distB="114300" distL="114300" distR="114300" ns4:anchorId="4AD331F6" ns4:editId="233092D2">
            <wp:extent cx="5638800" cy="4600575"/>
            <wp:effectExtent l="0" t="0" r="0" b="0"/>
            <wp:docPr id="10" name="image5.png"/>
            <wp:cNvGraphicFramePr/>
            <a:graphic>
              <a:graphicData uri="http://schemas.openxmlformats.org/drawingml/2006/picture">
                <pic:pic>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wp:inline distT="114300" distB="114300" distL="114300" distR="114300" ns4:anchorId="197D3DB6" ns4:editId="74B5242A">
            <wp:extent cx="5731200" cy="1371600"/>
            <wp:effectExtent l="0" t="0" r="0" b="0"/>
            <wp:docPr id="11" name="image11.png"/>
            <wp:cNvGraphicFramePr/>
            <a:graphic>
              <a:graphicData uri="http://schemas.openxmlformats.org/drawingml/2006/picture">
                <pic:pic>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В качестве контрольного ориентира используется та же модель `cointegrated/rubert-tiny2` без дообучения: такой baseline объективнее произвольного порога, поскольку сравнение изолирует вклад fine-tuning при одинаковой базовой архитектуре. На `val` базовая модель имела Average Precision `0.2590`, best F1 `0.5079`, best accuracy `0.6603`, MCC `0.0315`; после fine-tuning сохраненная модель `experiments/models/bi_encoder_rubert_tiny2` достигла Average Precision `0.9870`, best F1 `0.9582`, best accuracy `0.9712`, MCC `0.9365`. На `test` baseline показал Average Precision `0.2222`, best F1 `0.5072`, best accuracy `0.6583`, MCC `0.0000`; fine-tuned модель показала Average Precision `0.9921`, best F1 `0.9636`, best accuracy `0.9750`, MCC `0.9447`. Эти числа демонстрируют улучшение разделимости положительных и отрицательных пар после обучения, но не являются метриками fair ranking, внешней экспертной проверки или онлайн A/B-теста.</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 тестовом наборе baseline показал Average Precision `0.2222`, best F1 `0.5072`, best accuracy `0.6583` и MCC `0.0000`; после дообучения модель показала Average Precision `0.9921`, best F1 `0.9636`, best accuracy `0.9750` и MCC `0.9447`. Эти результаты демонстрируют улучшение разделимости положительных и отрицательных пар относительно выбранного контрольного подхода — той же модели без fine-tuning. При этом вывод ограничен подготовленными split-файлами и не является заменой независимой экспертной или онлайн-валидации.</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показала достижение основной технической цели работы в рамках офлайн-оценки: после дообучения модель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 Эти выводы ограничены подготовленным test split и не заменяют онлайн A/B-тестирование или независимую экспертную HR-валидацию.</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