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sidRPr="00304FD7">
        <w:rPr>
          <w:lang w:val="ru-RU"/>
        </w:rPr>
        <w:t>Пояснительная записка содержит ___ страниц, 2 рисунка, 5 таблиц. Количество использованных источников – 25.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wp:inline distT="114300" distB="114300" distL="114300" distR="114300" ns4:anchorId="4AD331F6" ns4:editId="233092D2">
            <wp:extent cx="5638800" cy="4600575"/>
            <wp:effectExtent l="0" t="0" r="0" b="0"/>
            <wp:docPr id="10" name="image5.png"/>
            <wp:cNvGraphicFramePr/>
            <a:graphic>
              <a:graphicData uri="http://schemas.openxmlformats.org/drawingml/2006/picture">
                <pic:pic>
                  <pic:nvPicPr>
                    <pic:cNvPr id="0" name="image5.png"/>
                    <pic:cNvPicPr preferRelativeResize="0"/>
                  </pic:nvPicPr>
                  <pic:blipFill>
                    <a:blip r:embed="rId10"/>
                    <a:srcRect/>
                    <a:stretch>
                      <a:fillRect/>
                    </a:stretch>
                  </pic:blipFill>
                  <pic:spPr>
                    <a:xfrm>
                      <a:off x="0" y="0"/>
                      <a:ext cx="5638800" cy="4600575"/>
                    </a:xfrm>
                    <a:prstGeom prst="rect">
                      <a:avLst/>
                    </a:prstGeom>
                    <a:ln/>
                  </pic:spPr>
                </pic:pic>
              </a:graphicData>
            </a:graphic>
          </wp: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wp:inline distT="114300" distB="114300" distL="114300" distR="114300" ns4:anchorId="197D3DB6" ns4:editId="74B5242A">
            <wp:extent cx="5731200" cy="1371600"/>
            <wp:effectExtent l="0" t="0" r="0" b="0"/>
            <wp:docPr id="11" name="image11.png"/>
            <wp:cNvGraphicFramePr/>
            <a:graphic>
              <a:graphicData uri="http://schemas.openxmlformats.org/drawingml/2006/picture">
                <pic:pic>
                  <pic:nvPicPr>
                    <pic:cNvPr id="0" name="image11.png"/>
                    <pic:cNvPicPr preferRelativeResize="0"/>
                  </pic:nvPicPr>
                  <pic:blipFill>
                    <a:blip r:embed="rId11"/>
                    <a:srcRect/>
                    <a:stretch>
                      <a:fillRect/>
                    </a:stretch>
                  </pic:blipFill>
                  <pic:spPr>
                    <a:xfrm>
                      <a:off x="0" y="0"/>
                      <a:ext cx="5731200" cy="1371600"/>
                    </a:xfrm>
                    <a:prstGeom prst="rect">
                      <a:avLst/>
                    </a:prstGeom>
                    <a:ln/>
                  </pic:spPr>
                </pic:pic>
              </a:graphicData>
            </a:graphic>
          </wp: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В качестве контрольного ориентира используется та же модель `cointegrated/rubert-tiny2` без дообучения: такой baseline объективнее произвольного порога, поскольку сравнение изолирует вклад fine-tuning при одинаковой базовой архитектуре. На `val` базовая модель имела Average Precision `0.2590`, best F1 `0.5079`, best accuracy `0.6603`, MCC `0.0315`; после fine-tuning сохраненная модель `experiments/models/bi_encoder_rubert_tiny2` достигла Average Precision `0.9870`, best F1 `0.9582`, best accuracy `0.9712`, MCC `0.9365`. На `test` baseline показал Average Precision `0.2222`, best F1 `0.5072`, best accuracy `0.6583`, MCC `0.0000`; fine-tuned модель показала Average Precision `0.9921`, best F1 `0.9636`, best accuracy `0.9750`, MCC `0.9447`. Эти числа демонстрируют улучшение разделимости положительных и отрицательных пар после обучения, но не являются метриками fair ranking, внешней экспертной проверки или онлайн A/B-теста.</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`data/super_job`.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 тестовом наборе baseline показал Average Precision `0.2222`, best F1 `0.5072`, best accuracy `0.6583` и MCC `0.0000`; после дообучения модель показала Average Precision `0.9921`, best F1 `0.9636`, best accuracy `0.9750` и MCC `0.9447`. Эти результаты демонстрируют улучшение разделимости положительных и отрицательных пар относительно выбранного контрольного подхода — той же модели без fine-tuning. При этом вывод ограничен подготовленными split-файлами и не является заменой независимой экспертной или онлайн-валидации.</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показала достижение основной технической цели работы в рамках офлайн-оценки: после дообучения модель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 Эти выводы ограничены подготовленным test split и не заменяют онлайн A/B-тестирование или независимую экспертную HR-валидацию.</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r:id="rId12"/>
      <w:footerReference w:type="default" r:id="rId13"/>
      <w:footerReference w:type="first" r: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