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Pr>
          <w:lang w:val="ru-RU"/>
        </w:rPr>
        <w:t>Пояснительная записка содержит ___ страниц, 2 рисунка, 5 таблиц. Количество использованных источников – 28.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bi-encoder архитектуры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bi-encoder подхода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bi-encoder подхода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bi-encoder архитектуры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bi-encoder модель,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bi-encoder подхода.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би-энкодера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би-энкодер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bi-encoder путь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bi-encoder оценки. С точки зрения архитектуры bi-encoder путь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ns3:inline distT="114300" distB="114300" distL="114300" distR="114300" ns4:anchorId="4AD331F6" ns4:editId="233092D2">
            <ns3:extent cx="5638800" cy="4600575"/>
            <ns3:effectExtent l="0" t="0" r="0" b="0"/>
            <ns3:docPr id="10" name="image5.png"/>
            <ns3:cNvGraphicFramePr/>
            <ns5:graphic>
              <ns5:graphicData uri="http://schemas.openxmlformats.org/drawingml/2006/picture">
                <ns6:pic>
                  <ns6:nvPicPr>
                    <ns6:cNvPr id="0" name="image5.png"/>
                    <ns6:cNvPicPr preferRelativeResize="0"/>
                  </ns6:nvPicPr>
                  <ns6:blipFill>
                    <ns5:blip ns7:embed="rId10"/>
                    <ns5:srcRect/>
                    <ns5:stretch>
                      <ns5:fillRect/>
                    </ns5:stretch>
                  </ns6:blipFill>
                  <ns6:spPr>
                    <ns5:xfrm>
                      <ns5:off x="0" y="0"/>
                      <ns5:ext cx="5638800" cy="4600575"/>
                    </ns5:xfrm>
                    <ns5:prstGeom prst="rect">
                      <ns5:avLst/>
                    </ns5:prstGeom>
                    <ns5:ln/>
                  </ns6:spPr>
                </ns6:pic>
              </ns5:graphicData>
            </ns5:graphic>
          </ns3: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bi-encoder scoring.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bi-encoder модели</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би-энкодера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ns3:inline distT="114300" distB="114300" distL="114300" distR="114300" ns4:anchorId="197D3DB6" ns4:editId="74B5242A">
            <ns3:extent cx="5731200" cy="1371600"/>
            <ns3:effectExtent l="0" t="0" r="0" b="0"/>
            <ns3:docPr id="11" name="image11.png"/>
            <ns3:cNvGraphicFramePr/>
            <ns5:graphic>
              <ns5:graphicData uri="http://schemas.openxmlformats.org/drawingml/2006/picture">
                <ns6:pic>
                  <ns6:nvPicPr>
                    <ns6:cNvPr id="0" name="image11.png"/>
                    <ns6:cNvPicPr preferRelativeResize="0"/>
                  </ns6:nvPicPr>
                  <ns6:blipFill>
                    <ns5:blip ns7:embed="rId11"/>
                    <ns5:srcRect/>
                    <ns5:stretch>
                      <ns5:fillRect/>
                    </ns5:stretch>
                  </ns6:blipFill>
                  <ns6:spPr>
                    <ns5:xfrm>
                      <ns5:off x="0" y="0"/>
                      <ns5:ext cx="5731200" cy="1371600"/>
                    </ns5:xfrm>
                    <ns5:prstGeom prst="rect">
                      <ns5:avLst/>
                    </ns5:prstGeom>
                    <ns5:ln/>
                  </ns6:spPr>
                </ns6:pic>
              </ns5:graphicData>
            </ns5:graphic>
          </ns3: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Базовая</w:t>
      </w:r>
      <w:r w:rsidRPr="000C79C2">
        <w:rPr>
          <w:lang w:val="en-US"/>
        </w:rPr>
        <w:t xml:space="preserve"> </w:t>
      </w:r>
      <w:r>
        <w:t>модель</w:t>
      </w:r>
      <w:r w:rsidRPr="000C79C2">
        <w:rPr>
          <w:lang w:val="en-US"/>
        </w:rPr>
        <w:t xml:space="preserve"> `cointegrated/rubert-tiny2` </w:t>
      </w:r>
      <w:r>
        <w:t>без</w:t>
      </w:r>
      <w:r w:rsidRPr="000C79C2">
        <w:rPr>
          <w:lang w:val="en-US"/>
        </w:rPr>
        <w:t xml:space="preserve"> </w:t>
      </w:r>
      <w:r>
        <w:t>дообучения</w:t>
      </w:r>
      <w:r w:rsidRPr="000C79C2">
        <w:rPr>
          <w:lang w:val="en-US"/>
        </w:rPr>
        <w:t xml:space="preserve"> </w:t>
      </w:r>
      <w:r>
        <w:t>на</w:t>
      </w:r>
      <w:r w:rsidRPr="000C79C2">
        <w:rPr>
          <w:lang w:val="en-US"/>
        </w:rPr>
        <w:t xml:space="preserve"> `val` </w:t>
      </w:r>
      <w:r>
        <w:t>имела</w:t>
      </w:r>
      <w:r w:rsidRPr="000C79C2">
        <w:rPr>
          <w:lang w:val="en-US"/>
        </w:rPr>
        <w:t xml:space="preserve"> Average Precision `0.2590`, best F1 `0.5079`, best accuracy `0.6603`, MCC `0.0315`; </w:t>
      </w:r>
      <w:r>
        <w:t>после</w:t>
      </w:r>
      <w:r w:rsidRPr="000C79C2">
        <w:rPr>
          <w:lang w:val="en-US"/>
        </w:rPr>
        <w:t xml:space="preserve"> fine-tuning </w:t>
      </w:r>
      <w:r>
        <w:t>сохраненная</w:t>
      </w:r>
      <w:r w:rsidRPr="000C79C2">
        <w:rPr>
          <w:lang w:val="en-US"/>
        </w:rPr>
        <w:t xml:space="preserve"> </w:t>
      </w:r>
      <w:r>
        <w:t>модель</w:t>
      </w:r>
      <w:r w:rsidRPr="000C79C2">
        <w:rPr>
          <w:lang w:val="en-US"/>
        </w:rPr>
        <w:t xml:space="preserve"> `experiments/models/bi_encoder_rubert_tiny2` </w:t>
      </w:r>
      <w:r>
        <w:t>достигла</w:t>
      </w:r>
      <w:r w:rsidRPr="000C79C2">
        <w:rPr>
          <w:lang w:val="en-US"/>
        </w:rPr>
        <w:t xml:space="preserve"> Average Precision `0.9870`, best F1 `0.9582`, best accuracy `0.9712`, MCC `0.9365`. </w:t>
      </w:r>
      <w:r>
        <w:t>На</w:t>
      </w:r>
      <w:r w:rsidRPr="000C79C2">
        <w:rPr>
          <w:lang w:val="en-US"/>
        </w:rPr>
        <w:t xml:space="preserve"> `test` baseline </w:t>
      </w:r>
      <w:r>
        <w:t>показал</w:t>
      </w:r>
      <w:r w:rsidRPr="000C79C2">
        <w:rPr>
          <w:lang w:val="en-US"/>
        </w:rPr>
        <w:t xml:space="preserve"> Average Precision `0.2222`, best F1 `0.5072`, best accuracy `0.6583`, MCC `0.0000`; fine-tuned </w:t>
      </w:r>
      <w:r>
        <w:t>модель</w:t>
      </w:r>
      <w:r w:rsidRPr="000C79C2">
        <w:rPr>
          <w:lang w:val="en-US"/>
        </w:rPr>
        <w:t xml:space="preserve"> </w:t>
      </w:r>
      <w:r>
        <w:t>показала</w:t>
      </w:r>
      <w:r w:rsidRPr="000C79C2">
        <w:rPr>
          <w:lang w:val="en-US"/>
        </w:rPr>
        <w:t xml:space="preserve"> Average Precision `0.9921`, best F1 `0.9636`, best accuracy `0.9750`, MCC `0.9447`. </w:t>
      </w:r>
      <w:r>
        <w:t>Эти числа подтверждают улучшение разделимости положительных и отрицательных пар после обучения, но не являются метриками fair ranking или внешней экспертной проверки.</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bi-encoder модели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r>
        <w:rPr>
          <w:b/>
        </w:rPr>
        <w:t>Сравнение подхода на основе трансформерных представлений с классическими системами ранжирования</w:t>
      </w:r>
    </w:p>
    <w:p ns2:paraId="5E3C6997" ns2:textId="77777777" w:rsidR="0043328A" w:rsidRDefault="00000000" w:rsidP="00A54143">
      <w:r>
        <w:t>Перед интерпретацией экспериментальных метрик важно зафиксировать, с какими классами ранжирующих систем сопоставляется реализованный подход на базе двунаправленного кодировщика представлений на основе трансформера (Bidirectional Encoder Representations from Transformers), модели векторных представлений предложений (Sentence Bidirectional Encoder Representations from Transformers) и архитектуры двойного кодировщика (dual encoder architecture). В задаче ATS описание вакансии фактически играет роль поискового запроса, а резюме кандидатов — роль документов, которые необходимо упорядочить по степени релевантности. Поэтому естественной точкой отсчета являются классические методы информационного поиска: векторная модель, TF-IDF, BM25, вероятностные модели релевантности, а также методы обучения ранжированию над заранее рассчитанными признаками [8, 11, 25, 26].</w:t>
      </w:r>
    </w:p>
    <w:p ns2:paraId="5E3C6997" ns2:textId="77777777" w:rsidR="0043328A" w:rsidRDefault="00000000" w:rsidP="00A54143">
      <w:r>
        <w:t>Лексические методы, такие как TF-IDF и BM25, остаются полезными baseline-подходами, поскольку они просты, вычислительно дешевы и хорошо интерпретируются. Для ATS-сценария это означает возможность быстро оценивать совпадение должностей, технологий, сертификатов и иных явно указанных требований. Однако в текстах вакансий и резюме релевантность часто выражается не буквальным совпадением слов, а согласованностью содержания вакансии и резюме: совпадением названия должности и уровня позиции, пересечением требуемых и указанных в резюме навыков и технологий, а также сопоставимостью описанных задач, обязанностей и достижений. В таких случаях чисто лексическое ранжирование может недооценивать релевантное резюме, если кандидат и работодатель описывают один и тот же опыт разными словами.</w:t>
      </w:r>
    </w:p>
    <w:p ns2:paraId="5E3C6997" ns2:textId="77777777" w:rsidR="0043328A" w:rsidRDefault="00000000" w:rsidP="00A54143">
      <w:r>
        <w:t>Подход на основе двунаправленного кодировщика (Bidirectional Encoder Representations from Transformers) отличается от этих методов тем, что формирует контекстные плотные представления текста. В варианте с моделью векторных представлений предложений (Sentence Bidirectional Encoder Representations from Transformers) вакансия и резюме кодируются независимо, после чего их близость вычисляется как сходство векторных представлений [5, 6]. Для данной работы это принципиально, поскольку реализованная архитектура двойного кодировщика (dual encoder architecture) на базе cointegrated/rubert-tiny2 предназначена не для поиска буквальных совпадений, а для получения семантического score пары «вакансия–резюме», который может быть дообучен на исторических HR-событиях целевого корпуса.</w:t>
      </w:r>
    </w:p>
    <w:p ns2:paraId="5E3C6997" ns2:textId="77777777" w:rsidR="0043328A" w:rsidRDefault="00000000" w:rsidP="00A54143">
      <w:r>
        <w:t>Ссылочные методы, например PageRank, в рассматриваемой постановке имеют меньшую практическую роль: они естественны для веб-графов и сетей цитирования, но не описывают напрямую смысловое соответствие вакансии и резюме [27]. Напротив, классические методы обучения ранжированию (learning to rank), включая RankNet, LambdaMART и градиентный бустинг для ранжирования, являются логичным направлением дальнейшего развития [8, 9, 28]. При наличии достаточного числа списков кандидатов и градуированных оценок они могут объединить BM25-score, семантический показатель, полученный архитектурой двойного кодировщика (dual encoder architecture), структурные признаки профиля и поведенческие сигналы ATS в единую ранжирующую функцию. Поэтому выбор двунаправленного кодировщика (Bidirectional Encoder Representations from Transformers) и модели векторных представлений предложений (Sentence Bidirectional Encoder Representations from Transformers) в текущей реализации следует понимать не как отказ от классического информационного поиска, а как получение и экспериментальную проверку воспроизводимого семантического показателя для русскоязычных пар «вакансия–резюме»; построение полноценной гибридной модели ранжирования с обучением ранжированию (learning to rank) вынесено на следующий этап и предполагает использование этого показателя как одного из входных признаков.</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`data/super_job`.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w:t>
      </w:r>
      <w:r w:rsidRPr="000C79C2">
        <w:rPr>
          <w:lang w:val="en-US"/>
        </w:rPr>
        <w:t xml:space="preserve"> </w:t>
      </w:r>
      <w:r>
        <w:t>тестовом</w:t>
      </w:r>
      <w:r w:rsidRPr="000C79C2">
        <w:rPr>
          <w:lang w:val="en-US"/>
        </w:rPr>
        <w:t xml:space="preserve"> </w:t>
      </w:r>
      <w:r>
        <w:t>наборе</w:t>
      </w:r>
      <w:r w:rsidRPr="000C79C2">
        <w:rPr>
          <w:lang w:val="en-US"/>
        </w:rPr>
        <w:t xml:space="preserve"> baseline </w:t>
      </w:r>
      <w:r>
        <w:t>показал</w:t>
      </w:r>
      <w:r w:rsidRPr="000C79C2">
        <w:rPr>
          <w:lang w:val="en-US"/>
        </w:rPr>
        <w:t xml:space="preserve"> Average Precision `0.2222`, best F1 `0.5072`, best accuracy `0.6583` </w:t>
      </w:r>
      <w:r>
        <w:t>и</w:t>
      </w:r>
      <w:r w:rsidRPr="000C79C2">
        <w:rPr>
          <w:lang w:val="en-US"/>
        </w:rPr>
        <w:t xml:space="preserve"> MCC `0.0000`; </w:t>
      </w:r>
      <w:r>
        <w:t>после</w:t>
      </w:r>
      <w:r w:rsidRPr="000C79C2">
        <w:rPr>
          <w:lang w:val="en-US"/>
        </w:rPr>
        <w:t xml:space="preserve"> </w:t>
      </w:r>
      <w:r>
        <w:t>дообучения</w:t>
      </w:r>
      <w:r w:rsidRPr="000C79C2">
        <w:rPr>
          <w:lang w:val="en-US"/>
        </w:rPr>
        <w:t xml:space="preserve"> </w:t>
      </w:r>
      <w:r>
        <w:t>модель</w:t>
      </w:r>
      <w:r w:rsidRPr="000C79C2">
        <w:rPr>
          <w:lang w:val="en-US"/>
        </w:rPr>
        <w:t xml:space="preserve"> </w:t>
      </w:r>
      <w:r>
        <w:t>показала</w:t>
      </w:r>
      <w:r w:rsidRPr="000C79C2">
        <w:rPr>
          <w:lang w:val="en-US"/>
        </w:rPr>
        <w:t xml:space="preserve"> Average Precision `0.9921`, best F1 `0.9636`, best accuracy `0.9750` </w:t>
      </w:r>
      <w:r>
        <w:t>и</w:t>
      </w:r>
      <w:r w:rsidRPr="000C79C2">
        <w:rPr>
          <w:lang w:val="en-US"/>
        </w:rPr>
        <w:t xml:space="preserve"> MCC `0.9447`. </w:t>
      </w:r>
      <w:r>
        <w:t>Эти результаты подтверждают, что fine-tuning на целевом корпусе существенно улучшил разделимость положительных и отрицательных пар по cosine score.</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bi-encoder сервис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bi-encoder микросервисом,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bi-encoder scoring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bi-encoder ranking request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bi-encoder scoring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bi-encoder архитектура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подтвердила достижение основной цели работы: после дообучения модель существенно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S.J.,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18313F14" ns2:textId="77777777" w:rsidR="0043328A" w:rsidRDefault="00000000">
      <w:pPr>
        <w:numPr>
          <w:ilvl w:val="0"/>
          <w:numId w:val="1"/>
        </w:numPr>
        <w:shd w:val="clear" w:color="auto" w:fill="FFFFFF"/>
        <w:jc w:val="left"/>
      </w:pPr>
      <w:r>
        <w:rPr>
          <w:lang w:val="en-US"/>
        </w:rPr>
        <w:t>Salton G., Wong A., Yang C.S. A Vector Space Model for Automatic Indexing. Communications of the ACM, 18(11), 1975, pp. 613–620.</w:t>
      </w:r>
    </w:p>
    <w:p ns2:paraId="18313F14" ns2:textId="77777777" w:rsidR="0043328A" w:rsidRDefault="00000000">
      <w:pPr>
        <w:numPr>
          <w:ilvl w:val="0"/>
          <w:numId w:val="1"/>
        </w:numPr>
        <w:shd w:val="clear" w:color="auto" w:fill="FFFFFF"/>
        <w:jc w:val="left"/>
      </w:pPr>
      <w:r>
        <w:rPr>
          <w:lang w:val="en-US"/>
        </w:rPr>
        <w:t>Spärck Jones K. A Statistical Interpretation of Term Specificity and Its Application in Retrieval. Journal of Documentation, 28(1), 1972, pp. 11–21.</w:t>
      </w:r>
    </w:p>
    <w:p ns2:paraId="18313F14" ns2:textId="77777777" w:rsidR="0043328A" w:rsidRDefault="00000000">
      <w:pPr>
        <w:numPr>
          <w:ilvl w:val="0"/>
          <w:numId w:val="1"/>
        </w:numPr>
        <w:shd w:val="clear" w:color="auto" w:fill="FFFFFF"/>
        <w:jc w:val="left"/>
      </w:pPr>
      <w:r>
        <w:rPr>
          <w:lang w:val="en-US"/>
        </w:rPr>
        <w:t>Page L., Brin S., Motwani R., Winograd T. The PageRank Citation Ranking: Bringing Order to the Web. Stanford InfoLab Technical Report, 1999.</w:t>
      </w:r>
    </w:p>
    <w:p ns2:paraId="18313F14" ns2:textId="77777777" w:rsidR="0043328A" w:rsidRDefault="00000000">
      <w:pPr>
        <w:numPr>
          <w:ilvl w:val="0"/>
          <w:numId w:val="1"/>
        </w:numPr>
        <w:shd w:val="clear" w:color="auto" w:fill="FFFFFF"/>
        <w:jc w:val="left"/>
      </w:pPr>
      <w:r>
        <w:rPr>
          <w:lang w:val="en-US"/>
        </w:rPr>
        <w:t>Burges C.J.C. From RankNet to LambdaRank to LambdaMART: An Overview. Microsoft Research Technical Report MSR-TR-2010-82, 2010.</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ns7:id="rId12"/>
      <w:footerReference w:type="default" ns7:id="rId13"/>
      <w:footerReference w:type="first" ns7: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