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BERT-подхода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BERT/Sentence-BERT подход.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близостью профессиональных ролей, стеков технологий и описаний опыта. В таких случаях чисто лексическое ранжирование может недооценивать релевантное резюме, если кандидат и работодатель используют разные формулировки для одного и того же навыка или вида деятельности.</w:t>
      </w:r>
    </w:p>
    <w:p ns2:paraId="5E3C6997" ns2:textId="77777777" w:rsidR="0043328A" w:rsidRDefault="00000000" w:rsidP="00A54143">
      <w:r>
        <w:t>BERT-подход отличается от этих методов тем, что формирует контекстные плотные представления текста. В варианте Sentence-BERT вакансия и резюме кодируются независимо, после чего их близость вычисляется как сходство эмбеддингов [5, 6]. Для данной работы это принципиально, поскольку реализованный bi-encoder на базе cointegrated/rubert-tiny2 предназначен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Learning to Rank методы,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score би-энкодера, структурные признаки профиля и поведенческие сигналы ATS в единую ранжирующую функцию. Поэтому выбор BERT/Sentence-BERT в текущей реализации следует понимать не как отказ от классического информационного поиска, а как получение воспроизводимого семантического признака релевантности, который в дальнейшем может стать частью гибридного или LTR-контура.</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`data/source platform`.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