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bi-encoder архитектуры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bi-encoder подхода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bi-encoder подхода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bi-encoder архитектуры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bi-encoder модель,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bi-encoder подхода.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bi-encoder scoring.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bi-encoder модели</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bi-encoder модели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подхода на основе трансформерных представлений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подход на базе двунаправленного кодировщика представлений на основе трансформера (Bidirectional Encoder Representations from Transformers), модели эмбеддингов предложений (Sentence Bidirectional Encoder Representations from Transformers) и архитектуры двойного кодировщика (dual encoder architecture). В задаче ATS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ATS-сценария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согласованностью содержания вакансии и резюме: совпадением названия должности и уровня позиции, пересечением требуемых и указанных в резюме навыков и технологий, а также сопоставимостью описанных задач, обязанностей и достижений. В таких случаях чисто лексическое ранжирование может недооценивать релевантное резюме, если кандидат и работодатель описывают один и тот же опыт разными словами.</w:t>
      </w:r>
    </w:p>
    <w:p ns2:paraId="5E3C6997" ns2:textId="77777777" w:rsidR="0043328A" w:rsidRDefault="00000000" w:rsidP="00A54143">
      <w:r>
        <w:t>Подход на основе двунаправленного кодировщика (Bidirectional Encoder Representations from Transformers) отличается от этих методов тем, что формирует контекстные плотные представления текста. В варианте с моделью эмбеддингов предложений (Sentence Bidirectional Encoder Representations from Transformers) вакансия и резюме кодируются независимо, после чего их близость вычисляется как сходство эмбеддингов [5, 6]. Для данной работы это принципиально, поскольку реализованная архитектура двойного кодировщика (dual encoder architecture) на базе cointegrated/rubert-tiny2 предназначена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Learning to Rank методы,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показатель, полученный архитектурой двойного кодировщика (dual encoder architecture), структурные признаки профиля и поведенческие сигналы ATS в единую ранжирующую функцию. Поэтому выбор двунаправленного кодировщика (Bidirectional Encoder Representations from Transformers) и модели эмбеддингов предложений (Sentence Bidirectional Encoder Representations from Transformers) в текущей реализации следует понимать не как отказ от классического информационного поиска, а как получение и экспериментальную проверку воспроизводимого семантического показателя для русскоязычных пар «вакансия–резюме»; построение полноценного гибридного ранжировщика с обучением по ранжирующим метрикам вынесено на следующий этап и предполагает использование этого показателя как одного из входных признаков.</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`data/super_job`.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bi-encoder scoring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bi-encoder ranking request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bi-encoder scoring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bi-encoder архитектура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