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49.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27, 2021 (11:45:05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Style w:val="Compact"/>
      </w:pPr>
      <w:r>
        <w:t xml:space="preserve">This will result in a compile error because</w:t>
      </w:r>
      <w:r>
        <w:t xml:space="preserve"> </w:t>
      </w:r>
      <w:r>
        <w:rPr>
          <w:rStyle w:val="NormalTok"/>
        </w:rPr>
        <w:t xml:space="preserve">\U</w:t>
      </w:r>
      <w:r>
        <w:t xml:space="preserve"> </w:t>
      </w:r>
      <w:r>
        <w:t xml:space="preserve">is not a valid escape sequence: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Style w:val="Compact"/>
      </w:pPr>
      <w:r>
        <w:t xml:space="preserve">This will display the path correctly:</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Style w:val="Compact"/>
      </w:pPr>
      <w:r>
        <w:t xml:space="preserve">Sometimes, the result of arithmetic operations over floating-point numbers is smaller than what can be stored in the corresponding data type. This problem is known as the underflow problem.</w:t>
      </w:r>
    </w:p>
    <w:p>
      <w:pPr>
        <w:numPr>
          <w:ilvl w:val="0"/>
          <w:numId w:val="1106"/>
        </w:numPr>
        <w:pStyle w:val="Compact"/>
      </w:pPr>
      <w:r>
        <w:t xml:space="preserve">In C#, in case of an underflow problem, the result will be zero.</w:t>
      </w:r>
    </w:p>
    <w:p>
      <w:pPr>
        <w:pStyle w:val="SourceCode"/>
      </w:pPr>
      <w:r>
        <w:rPr>
          <w:rStyle w:val="DataTypeTok"/>
        </w:rPr>
        <w:t xml:space="preserve">float</w:t>
      </w:r>
      <w:r>
        <w:rPr>
          <w:rStyle w:val="NormalTok"/>
        </w:rPr>
        <w:t xml:space="preserve"> no</w:t>
      </w:r>
      <w:r>
        <w:rPr>
          <w:rStyle w:val="OperatorTok"/>
        </w:rPr>
        <w:t xml:space="preserve">;</w:t>
      </w:r>
      <w:r>
        <w:br/>
      </w:r>
      <w:r>
        <w:rPr>
          <w:rStyle w:val="NormalTok"/>
        </w:rPr>
        <w:t xml:space="preserve">no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1.401298E-45</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center"/>
            </w:pPr>
            <w:r>
              <w:rPr>
                <w:bCs/>
                <w:b/>
              </w:rPr>
              <w:t xml:space="preserve">ClassName</w:t>
            </w:r>
          </w:p>
        </w:tc>
      </w:tr>
      <w:tr>
        <w:tc>
          <w:p>
            <w:pPr>
              <w:numPr>
                <w:ilvl w:val="0"/>
                <w:numId w:val="1000"/>
              </w:numPr>
              <w:pStyle w:val="Compact"/>
              <w:jc w:val="center"/>
            </w:pPr>
            <w:r>
              <w:t xml:space="preserve">- attribute:</w:t>
            </w:r>
            <w:r>
              <w:t xml:space="preserve"> </w:t>
            </w:r>
            <w:r>
              <w:rPr>
                <w:rStyle w:val="NormalTok"/>
              </w:rPr>
              <w:t xml:space="preserve">type</w:t>
            </w:r>
          </w:p>
        </w:tc>
      </w:tr>
      <w:tr>
        <w:tc>
          <w:p>
            <w:pPr>
              <w:numPr>
                <w:ilvl w:val="0"/>
                <w:numId w:val="1000"/>
              </w:numPr>
              <w:pStyle w:val="Compact"/>
              <w:jc w:val="center"/>
            </w:pPr>
            <w:r>
              <w:t xml:space="preserve">:–:</w:t>
            </w:r>
          </w:p>
        </w:tc>
      </w:tr>
      <w:tr>
        <w:tc>
          <w:p>
            <w:pPr>
              <w:numPr>
                <w:ilvl w:val="0"/>
                <w:numId w:val="1000"/>
              </w:numPr>
              <w:pStyle w:val="Compact"/>
              <w:jc w:val="center"/>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center"/>
            </w:pPr>
            <w:r>
              <w:t xml:space="preserve">+ GetAttribute():</w:t>
            </w:r>
            <w:r>
              <w:t xml:space="preserve"> </w:t>
            </w:r>
            <w:r>
              <w:rPr>
                <w:rStyle w:val="NormalTok"/>
              </w:rPr>
              <w:t xml:space="preserve">type</w:t>
            </w:r>
          </w:p>
        </w:tc>
      </w:tr>
      <w:tr>
        <w:tc>
          <w:p>
            <w:pPr>
              <w:numPr>
                <w:ilvl w:val="0"/>
                <w:numId w:val="1000"/>
              </w:numPr>
              <w:pStyle w:val="Compact"/>
              <w:jc w:val="center"/>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center"/>
            </w:pPr>
            <w:r>
              <w:rPr>
                <w:bCs/>
                <w:b/>
              </w:rPr>
              <w:t xml:space="preserve">Rectangle</w:t>
            </w:r>
          </w:p>
        </w:tc>
      </w:tr>
      <w:tr>
        <w:tc>
          <w:p>
            <w:pPr>
              <w:numPr>
                <w:ilvl w:val="0"/>
                <w:numId w:val="1000"/>
              </w:numPr>
              <w:pStyle w:val="Compact"/>
              <w:jc w:val="center"/>
            </w:pPr>
            <w:r>
              <w:t xml:space="preserve">- width:</w:t>
            </w:r>
            <w:r>
              <w:t xml:space="preserve"> </w:t>
            </w:r>
            <w:r>
              <w:rPr>
                <w:rStyle w:val="DataTypeTok"/>
              </w:rPr>
              <w:t xml:space="preserve">int</w:t>
            </w:r>
          </w:p>
        </w:tc>
      </w:tr>
      <w:tr>
        <w:tc>
          <w:p>
            <w:pPr>
              <w:numPr>
                <w:ilvl w:val="0"/>
                <w:numId w:val="1000"/>
              </w:numPr>
              <w:pStyle w:val="Compact"/>
              <w:jc w:val="center"/>
            </w:pPr>
            <w:r>
              <w:t xml:space="preserve">- length:</w:t>
            </w:r>
            <w:r>
              <w:t xml:space="preserve"> </w:t>
            </w:r>
            <w:r>
              <w:rPr>
                <w:rStyle w:val="DataTypeTok"/>
              </w:rPr>
              <w:t xml:space="preserve">int</w:t>
            </w:r>
          </w:p>
        </w:tc>
      </w:tr>
      <w:tr>
        <w:tc>
          <w:p>
            <w:pPr>
              <w:numPr>
                <w:ilvl w:val="0"/>
                <w:numId w:val="1000"/>
              </w:numPr>
              <w:pStyle w:val="Compact"/>
              <w:jc w:val="center"/>
            </w:pPr>
            <w:r>
              <w:t xml:space="preserve">:–:</w:t>
            </w:r>
          </w:p>
        </w:tc>
      </w:tr>
      <w:tr>
        <w:tc>
          <w:p>
            <w:pPr>
              <w:numPr>
                <w:ilvl w:val="0"/>
                <w:numId w:val="1000"/>
              </w:numPr>
              <w:pStyle w:val="Compact"/>
              <w:jc w:val="center"/>
            </w:pPr>
            <w:r>
              <w:t xml:space="preserve">+ SetLength(lengthParameter:</w:t>
            </w:r>
            <w:r>
              <w:t xml:space="preserve"> </w:t>
            </w:r>
            <w:r>
              <w:rPr>
                <w:rStyle w:val="DataTypeTok"/>
              </w:rPr>
              <w:t xml:space="preserve">int</w:t>
            </w:r>
            <w:r>
              <w:t xml:space="preserve">)</w:t>
            </w:r>
          </w:p>
        </w:tc>
      </w:tr>
      <w:tr>
        <w:tc>
          <w:p>
            <w:pPr>
              <w:numPr>
                <w:ilvl w:val="0"/>
                <w:numId w:val="1000"/>
              </w:numPr>
              <w:pStyle w:val="Compact"/>
              <w:jc w:val="center"/>
            </w:pPr>
            <w:r>
              <w:t xml:space="preserve">+ GetLength():</w:t>
            </w:r>
            <w:r>
              <w:t xml:space="preserve"> </w:t>
            </w:r>
            <w:r>
              <w:rPr>
                <w:rStyle w:val="DataTypeTok"/>
              </w:rPr>
              <w:t xml:space="preserve">int</w:t>
            </w:r>
          </w:p>
        </w:tc>
      </w:tr>
      <w:tr>
        <w:tc>
          <w:p>
            <w:pPr>
              <w:numPr>
                <w:ilvl w:val="0"/>
                <w:numId w:val="1000"/>
              </w:numPr>
              <w:pStyle w:val="Compact"/>
              <w:jc w:val="center"/>
            </w:pPr>
            <w:r>
              <w:t xml:space="preserve">+ SetWidth(widthParameter:</w:t>
            </w:r>
            <w:r>
              <w:t xml:space="preserve"> </w:t>
            </w:r>
            <w:r>
              <w:rPr>
                <w:rStyle w:val="DataTypeTok"/>
              </w:rPr>
              <w:t xml:space="preserve">int</w:t>
            </w:r>
            <w:r>
              <w:t xml:space="preserve">)</w:t>
            </w:r>
          </w:p>
        </w:tc>
      </w:tr>
      <w:tr>
        <w:tc>
          <w:p>
            <w:pPr>
              <w:numPr>
                <w:ilvl w:val="0"/>
                <w:numId w:val="1000"/>
              </w:numPr>
              <w:pStyle w:val="Compact"/>
              <w:jc w:val="center"/>
            </w:pPr>
            <w:r>
              <w:t xml:space="preserve">+ GetWidth():</w:t>
            </w:r>
            <w:r>
              <w:t xml:space="preserve"> </w:t>
            </w:r>
            <w:r>
              <w:rPr>
                <w:rStyle w:val="DataTypeTok"/>
              </w:rPr>
              <w:t xml:space="preserve">int</w:t>
            </w:r>
          </w:p>
        </w:tc>
      </w:tr>
      <w:tr>
        <w:tc>
          <w:p>
            <w:pPr>
              <w:numPr>
                <w:ilvl w:val="0"/>
                <w:numId w:val="1000"/>
              </w:numPr>
              <w:pStyle w:val="Compact"/>
              <w:jc w:val="center"/>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a-class-for-classroom"/>
    <w:p>
      <w:pPr>
        <w:pStyle w:val="Heading1"/>
      </w:pPr>
      <w:r>
        <w:t xml:space="preserve">A Class for ClassRoom</w:t>
      </w:r>
    </w:p>
    <w:bookmarkStart w:id="68" w:name="uml---specification"/>
    <w:p>
      <w:pPr>
        <w:pStyle w:val="Heading2"/>
      </w:pPr>
      <w:r>
        <w:t xml:space="preserve">UML - Specification</w:t>
      </w:r>
    </w:p>
    <w:tbl>
      <w:tblPr>
        <w:tblStyle w:val="Table"/>
        <w:tblW w:type="pct" w:w="0"/>
        <w:tblLook w:firstRow="1" w:lastRow="0" w:firstColumn="0" w:lastColumn="0" w:noHBand="0" w:noVBand="0" w:val="0020"/>
      </w:tblPr>
      <w:tblGrid/>
      <w:tr>
        <w:tc>
          <w:p>
            <w:pPr>
              <w:pStyle w:val="Compact"/>
              <w:jc w:val="left"/>
            </w:pPr>
            <w:r>
              <w:rPr>
                <w:bCs/>
                <w:b/>
              </w:rPr>
              <w:t xml:space="preserve">ClassRoom</w:t>
            </w:r>
          </w:p>
        </w:tc>
      </w:tr>
      <w:tr>
        <w:tc>
          <w:p>
            <w:pPr>
              <w:pStyle w:val="Compact"/>
              <w:jc w:val="left"/>
            </w:pPr>
            <w:r>
              <w:t xml:space="preserve">- name:</w:t>
            </w:r>
            <w:r>
              <w:t xml:space="preserve"> </w:t>
            </w:r>
            <w:r>
              <w:rPr>
                <w:rStyle w:val="DataTypeTok"/>
              </w:rPr>
              <w:t xml:space="preserve">string</w:t>
            </w:r>
          </w:p>
        </w:tc>
      </w:tr>
      <w:tr>
        <w:tc>
          <w:p>
            <w:pPr>
              <w:pStyle w:val="Compact"/>
              <w:jc w:val="left"/>
            </w:pPr>
            <w:r>
              <w:t xml:space="preserve">- number:</w:t>
            </w:r>
            <w:r>
              <w:t xml:space="preserve"> </w:t>
            </w:r>
            <w:r>
              <w:rPr>
                <w:rStyle w:val="DataTypeTok"/>
              </w:rPr>
              <w:t xml:space="preserve">int</w:t>
            </w:r>
          </w:p>
        </w:tc>
      </w:tr>
      <w:tr>
        <w:tc>
          <w:p>
            <w:pPr>
              <w:pStyle w:val="Compact"/>
              <w:jc w:val="left"/>
            </w:pPr>
            <w:r>
              <w:t xml:space="preserve">+ SetName(nameParameter :</w:t>
            </w:r>
            <w:r>
              <w:t xml:space="preserve"> </w:t>
            </w:r>
            <w:r>
              <w:rPr>
                <w:rStyle w:val="DataTypeTok"/>
              </w:rPr>
              <w:t xml:space="preserve">string</w:t>
            </w:r>
            <w:r>
              <w:t xml:space="preserve">):</w:t>
            </w:r>
            <w:r>
              <w:t xml:space="preserve"> </w:t>
            </w:r>
            <w:r>
              <w:rPr>
                <w:rStyle w:val="DataTypeTok"/>
              </w:rPr>
              <w:t xml:space="preserve">void</w:t>
            </w:r>
          </w:p>
        </w:tc>
      </w:tr>
      <w:tr>
        <w:tc>
          <w:p>
            <w:pPr>
              <w:pStyle w:val="Compact"/>
              <w:jc w:val="left"/>
            </w:pPr>
            <w:r>
              <w:t xml:space="preserve">+ GetName():</w:t>
            </w:r>
            <w:r>
              <w:t xml:space="preserve"> </w:t>
            </w:r>
            <w:r>
              <w:rPr>
                <w:rStyle w:val="DataTypeTok"/>
              </w:rPr>
              <w:t xml:space="preserve">string</w:t>
            </w:r>
          </w:p>
        </w:tc>
      </w:tr>
      <w:tr>
        <w:tc>
          <w:p>
            <w:pPr>
              <w:pStyle w:val="Compact"/>
              <w:jc w:val="left"/>
            </w:pPr>
            <w:r>
              <w:t xml:space="preserve">+ SetNumber(numberParameter:</w:t>
            </w:r>
            <w:r>
              <w:t xml:space="preserve"> </w:t>
            </w:r>
            <w:r>
              <w:rPr>
                <w:rStyle w:val="DataTypeTok"/>
              </w:rPr>
              <w:t xml:space="preserve">int</w:t>
            </w:r>
            <w:r>
              <w:t xml:space="preserve">): void</w:t>
            </w:r>
          </w:p>
        </w:tc>
      </w:tr>
      <w:tr>
        <w:tc>
          <w:p>
            <w:pPr>
              <w:pStyle w:val="Compact"/>
              <w:jc w:val="left"/>
            </w:pPr>
            <w:r>
              <w:t xml:space="preserve">+ GetNumber():</w:t>
            </w:r>
            <w:r>
              <w:t xml:space="preserve"> </w:t>
            </w:r>
            <w:r>
              <w:rPr>
                <w:rStyle w:val="DataTypeTok"/>
              </w:rPr>
              <w:t xml:space="preserve">int</w:t>
            </w:r>
          </w:p>
        </w:tc>
      </w:tr>
    </w:tbl>
    <w:bookmarkEnd w:id="68"/>
    <w:bookmarkStart w:id="69" w:name="implementation"/>
    <w:p>
      <w:pPr>
        <w:pStyle w:val="Heading2"/>
      </w:pPr>
      <w:r>
        <w:t xml:space="preserve">Implementation</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9"/>
    <w:bookmarkStart w:id="70" w:name="default-values"/>
    <w:p>
      <w:pPr>
        <w:pStyle w:val="Heading2"/>
      </w:pPr>
      <w:r>
        <w:t xml:space="preserve">Default Values</w:t>
      </w:r>
    </w:p>
    <w:p>
      <w:pPr>
        <w:pStyle w:val="FirstParagraph"/>
      </w:pPr>
      <w:r>
        <w:t xml:space="preserve">What if we display the values of the instance variables before setting them?</w:t>
      </w:r>
    </w:p>
    <w:p>
      <w:p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NormalTok"/>
        </w:rPr>
        <w:t xml:space="preserve"> </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GetName</w:t>
      </w:r>
      <w:r>
        <w:rPr>
          <w:rStyle w:val="OperatorTok"/>
        </w:rPr>
        <w:t xml:space="preserve">());</w:t>
      </w:r>
      <w:r>
        <w:rPr>
          <w:rStyle w:val="NormalTok"/>
        </w:rPr>
        <w:t xml:space="preserve"> </w:t>
      </w:r>
      <w:r>
        <w:rPr>
          <w:rStyle w:val="CommentTok"/>
        </w:rPr>
        <w:t xml:space="preserve">// Nothing!</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CommentTok"/>
        </w:rPr>
        <w:t xml:space="preserve">// 0</w:t>
      </w:r>
    </w:p>
    <w:p>
      <w:pPr>
        <w:pStyle w:val="FirstParagraph"/>
      </w:pPr>
      <w:r>
        <w:t xml:space="preserve">Indeed, instance variables are different from</w:t>
      </w:r>
      <w:r>
        <w:t xml:space="preserve"> </w:t>
      </w:r>
      <w:r>
        <w:t xml:space="preserve">“</w:t>
      </w:r>
      <w:r>
        <w:t xml:space="preserve">usual</w:t>
      </w:r>
      <w:r>
        <w:t xml:space="preserve">”</w:t>
      </w:r>
      <w:r>
        <w:t xml:space="preserve"> </w:t>
      </w:r>
      <w:r>
        <w:t xml:space="preserve">variables in that sense that they receive a</w:t>
      </w:r>
      <w:r>
        <w:t xml:space="preserve"> </w:t>
      </w:r>
      <w:r>
        <w:t xml:space="preserve">“</w:t>
      </w:r>
      <w:r>
        <w:t xml:space="preserve">default</w:t>
      </w:r>
      <w:r>
        <w:t xml:space="preserve">”</w:t>
      </w:r>
      <w:r>
        <w:t xml:space="preserve"> </w:t>
      </w:r>
      <w:r>
        <w:t xml:space="preserve">value when created.</w:t>
      </w:r>
      <w:r>
        <w:t xml:space="preserve"> </w:t>
      </w:r>
      <w:r>
        <w:t xml:space="preserve">This value depends of the variable datatype:</w:t>
      </w:r>
    </w:p>
    <w:tbl>
      <w:tblPr>
        <w:tblStyle w:val="Table"/>
        <w:tblW w:type="pct" w:w="0"/>
        <w:tblLook w:firstRow="1" w:lastRow="0" w:firstColumn="0" w:lastColumn="0" w:noHBand="0" w:noVBand="0" w:val="0020"/>
      </w:tblPr>
      <w:tblGrid/>
      <w:tr>
        <w:tc>
          <w:p>
            <w:pPr>
              <w:pStyle w:val="Compact"/>
              <w:jc w:val="center"/>
            </w:pPr>
            <w:r>
              <w:t xml:space="preserve">Type</w:t>
            </w:r>
          </w:p>
        </w:tc>
        <w:tc>
          <w:p>
            <w:pPr>
              <w:pStyle w:val="Compact"/>
              <w:jc w:val="center"/>
            </w:pPr>
            <w:r>
              <w:t xml:space="preserve">Default</w:t>
            </w:r>
          </w:p>
        </w:tc>
      </w:tr>
      <w:tr>
        <w:tc>
          <w:p>
            <w:pPr>
              <w:pStyle w:val="Compact"/>
              <w:jc w:val="center"/>
            </w:pPr>
            <w:r>
              <w:t xml:space="preserve">numerical value</w:t>
            </w:r>
          </w:p>
        </w:tc>
        <w:tc>
          <w:p>
            <w:pPr>
              <w:pStyle w:val="Compact"/>
              <w:jc w:val="center"/>
            </w:pPr>
            <w:r>
              <w:rPr>
                <w:rStyle w:val="DecValTok"/>
              </w:rPr>
              <w:t xml:space="preserve">0</w:t>
            </w:r>
          </w:p>
        </w:tc>
      </w:tr>
      <w:tr>
        <w:tc>
          <w:p>
            <w:pPr>
              <w:pStyle w:val="Compact"/>
              <w:jc w:val="center"/>
            </w:pPr>
            <w:r>
              <w:t xml:space="preserve">char</w:t>
            </w:r>
          </w:p>
        </w:tc>
        <w:tc>
          <w:p>
            <w:pPr>
              <w:pStyle w:val="Compact"/>
              <w:jc w:val="center"/>
            </w:pPr>
            <w:r>
              <w:rPr>
                <w:rStyle w:val="CharTok"/>
              </w:rPr>
              <w:t xml:space="preserve">'\x0000'</w:t>
            </w:r>
          </w:p>
        </w:tc>
      </w:tr>
      <w:tr>
        <w:tc>
          <w:p>
            <w:pPr>
              <w:pStyle w:val="Compact"/>
              <w:jc w:val="center"/>
            </w:pPr>
            <w:r>
              <w:t xml:space="preserve">bool</w:t>
            </w:r>
          </w:p>
        </w:tc>
        <w:tc>
          <w:p>
            <w:pPr>
              <w:pStyle w:val="Compact"/>
              <w:jc w:val="center"/>
            </w:pPr>
            <w:r>
              <w:rPr>
                <w:rStyle w:val="KeywordTok"/>
              </w:rPr>
              <w:t xml:space="preserve">false</w:t>
            </w:r>
          </w:p>
        </w:tc>
      </w:tr>
      <w:tr>
        <w:tc>
          <w:p>
            <w:pPr>
              <w:pStyle w:val="Compact"/>
              <w:jc w:val="center"/>
            </w:pPr>
            <w:r>
              <w:t xml:space="preserve">string</w:t>
            </w:r>
          </w:p>
        </w:tc>
        <w:tc>
          <w:p>
            <w:pPr>
              <w:pStyle w:val="Compact"/>
              <w:jc w:val="center"/>
            </w:pPr>
            <w:r>
              <w:rPr>
                <w:rStyle w:val="KeywordTok"/>
              </w:rPr>
              <w:t xml:space="preserve">null</w:t>
            </w:r>
          </w:p>
        </w:tc>
      </w:tr>
    </w:tbl>
    <w:p>
      <w:pPr>
        <w:numPr>
          <w:ilvl w:val="0"/>
          <w:numId w:val="1216"/>
        </w:numPr>
        <w:pStyle w:val="Compact"/>
      </w:pPr>
      <w:r>
        <w:t xml:space="preserve">Note how different it is from the variables we have been using so far, that could not be for instance displayed if their value had not been set.</w:t>
      </w:r>
    </w:p>
    <w:p>
      <w:pPr>
        <w:numPr>
          <w:ilvl w:val="0"/>
          <w:numId w:val="1216"/>
        </w:numPr>
        <w:pStyle w:val="Compact"/>
      </w:pPr>
      <w:r>
        <w:t xml:space="preserve">We can set a different default value, using, in the class declaration,</w:t>
      </w:r>
    </w:p>
    <w:p>
      <w:pPr>
        <w:pStyle w:val="SourceCode"/>
      </w:pPr>
      <w:r>
        <w:rPr>
          <w:rStyle w:val="KeywordTok"/>
        </w:rPr>
        <w:t xml:space="preserve">private</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KeywordTok"/>
        </w:rPr>
        <w:t xml:space="preserve">private</w:t>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p>
    <w:bookmarkEnd w:id="70"/>
    <w:bookmarkStart w:id="73" w:name="constructors"/>
    <w:p>
      <w:pPr>
        <w:pStyle w:val="Heading2"/>
      </w:pPr>
      <w:r>
        <w:t xml:space="preserve">Constructors</w:t>
      </w:r>
    </w:p>
    <w:bookmarkStart w:id="71" w:name="custom"/>
    <w:p>
      <w:pPr>
        <w:pStyle w:val="Heading3"/>
      </w:pPr>
      <w:r>
        <w:t xml:space="preserve">Custom</w:t>
      </w:r>
    </w:p>
    <w:p>
      <w:pPr>
        <w:pStyle w:val="FirstParagraph"/>
      </w:pPr>
      <w:r>
        <w:t xml:space="preserve">A constructor is a method used to create an object.</w:t>
      </w:r>
      <w:r>
        <w:t xml:space="preserve"> </w:t>
      </w:r>
      <w:r>
        <w:t xml:space="preserve">It has to have the same name as the class, and doesn’t have a return type.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nameParameter</w:t>
      </w:r>
      <w:r>
        <w:rPr>
          <w:rStyle w:val="OperatorTok"/>
        </w:rPr>
        <w:t xml:space="preserve">,</w:t>
      </w:r>
      <w:r>
        <w:rPr>
          <w:rStyle w:val="NormalTok"/>
        </w:rPr>
        <w:t xml:space="preserve"> </w:t>
      </w:r>
      <w:r>
        <w:rPr>
          <w:rStyle w:val="DataTypeTok"/>
        </w:rPr>
        <w:t xml:space="preserve">int</w:t>
      </w:r>
      <w:r>
        <w:rPr>
          <w:rStyle w:val="NormalTok"/>
        </w:rPr>
        <w:t xml:space="preserve"> numberParameter</w:t>
      </w:r>
      <w:r>
        <w:rPr>
          <w:rStyle w:val="OperatorTok"/>
        </w:rPr>
        <w:t xml:space="preserve">)</w:t>
      </w:r>
      <w:r>
        <w:br/>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OperatorTok"/>
        </w:rPr>
        <w:t xml:space="preserve">}</w:t>
      </w:r>
    </w:p>
    <w:p>
      <w:pPr>
        <w:pStyle w:val="FirstParagraph"/>
      </w:pPr>
      <w:r>
        <w:t xml:space="preserve">We use it as follows:</w:t>
      </w:r>
    </w:p>
    <w:p>
      <w:pPr>
        <w:pStyle w:val="SourceCode"/>
      </w:pPr>
      <w:r>
        <w:rPr>
          <w:rStyle w:val="NormalTok"/>
        </w:rPr>
        <w:t xml:space="preserve">ClassRoom math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"Bertrand"</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Note:</w:t>
      </w:r>
    </w:p>
    <w:p>
      <w:pPr>
        <w:numPr>
          <w:ilvl w:val="0"/>
          <w:numId w:val="1217"/>
        </w:numPr>
        <w:pStyle w:val="Compact"/>
      </w:pPr>
      <w:r>
        <w:t xml:space="preserve">the order of the arguments matter,</w:t>
      </w:r>
    </w:p>
    <w:p>
      <w:pPr>
        <w:numPr>
          <w:ilvl w:val="0"/>
          <w:numId w:val="1217"/>
        </w:numPr>
        <w:pStyle w:val="Compact"/>
      </w:pPr>
      <w:r>
        <w:t xml:space="preserve">the variables, as usual, have a particular scope,</w:t>
      </w:r>
    </w:p>
    <w:p>
      <w:pPr>
        <w:numPr>
          <w:ilvl w:val="0"/>
          <w:numId w:val="1217"/>
        </w:numPr>
        <w:pStyle w:val="Compact"/>
      </w:pPr>
      <w:r>
        <w:t xml:space="preserve">constructor do not have a return type (not even</w:t>
      </w:r>
      <w:r>
        <w:t xml:space="preserve"> </w:t>
      </w:r>
      <w:r>
        <w:rPr>
          <w:rStyle w:val="DataTypeTok"/>
        </w:rPr>
        <w:t xml:space="preserve">void</w:t>
      </w:r>
      <w:r>
        <w:t xml:space="preserve">)</w:t>
      </w:r>
    </w:p>
    <w:p>
      <w:pPr>
        <w:pStyle w:val="FirstParagraph"/>
      </w:pPr>
      <w:r>
        <w:t xml:space="preserve">In the UML diagram, we would add:</w:t>
      </w:r>
    </w:p>
    <w:p>
      <w:pPr>
        <w:pStyle w:val="BodyText"/>
      </w:pPr>
      <w:r>
        <w:t xml:space="preserve">+ &lt;&lt;constructor&gt;&gt; ClassRoom(nameParameter: string, numberParameter: int)</w:t>
      </w:r>
    </w:p>
    <w:p>
      <w:pPr>
        <w:pStyle w:val="BodyText"/>
      </w:pPr>
      <w:r>
        <w:t xml:space="preserve">Note that we could skip the &lt;&lt;constructor&gt;&gt; part, can you tell why?</w:t>
      </w:r>
    </w:p>
    <w:bookmarkEnd w:id="71"/>
    <w:bookmarkStart w:id="72" w:name="default"/>
    <w:p>
      <w:pPr>
        <w:pStyle w:val="Heading3"/>
      </w:pPr>
      <w:r>
        <w:t xml:space="preserve">Default</w:t>
      </w:r>
    </w:p>
    <w:p>
      <w:pPr>
        <w:pStyle w:val="FirstParagraph"/>
      </w:pPr>
      <w:r>
        <w:t xml:space="preserve">If we implement this constructor, then we lose the</w:t>
      </w:r>
      <w:r>
        <w:t xml:space="preserve"> </w:t>
      </w:r>
      <w:r>
        <w:t xml:space="preserve">“</w:t>
      </w:r>
      <w:r>
        <w:t xml:space="preserve">No args</w:t>
      </w:r>
      <w:r>
        <w:t xml:space="preserve">”</w:t>
      </w:r>
      <w:r>
        <w:t xml:space="preserve">, default constructor</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We can re-define it, using something like: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p>
    <w:bookmarkEnd w:id="72"/>
    <w:bookmarkEnd w:id="73"/>
    <w:bookmarkEnd w:id="74"/>
    <w:bookmarkStart w:id="75" w:name="signature-and-overloading"/>
    <w:p>
      <w:pPr>
        <w:pStyle w:val="Heading1"/>
      </w:pPr>
      <w:r>
        <w:t xml:space="preserve">Signature and Overloading</w:t>
      </w:r>
    </w:p>
    <w:p>
      <w:pPr>
        <w:pStyle w:val="FirstParagraph"/>
      </w:pPr>
      <w:r>
        <w:t xml:space="preserve">Every method has a signature made of</w:t>
      </w:r>
      <w:r>
        <w:t xml:space="preserve"> </w:t>
      </w:r>
      <w:r>
        <w:t xml:space="preserve">- its name,</w:t>
      </w:r>
      <w:r>
        <w:t xml:space="preserve"> </w:t>
      </w:r>
      <w:r>
        <w:t xml:space="preserve">- its parameters types (but not the parameter names).</w:t>
      </w:r>
    </w:p>
    <w:p>
      <w:pPr>
        <w:pStyle w:val="BodyText"/>
      </w:pPr>
      <w:r>
        <w:t xml:space="preserve">Note that the return type is not part of the method signature in C#.</w:t>
      </w:r>
    </w:p>
    <w:p>
      <w:pPr>
        <w:pStyle w:val="BodyText"/>
      </w:pPr>
      <w:r>
        <w:t xml:space="preserve">In a class, all the methods need to have a different signature.</w:t>
      </w:r>
      <w:r>
        <w:t xml:space="preserve"> </w:t>
      </w:r>
      <w:r>
        <w:t xml:space="preserve">You cannot, for example, have these two methods in the same class:</w:t>
      </w:r>
    </w:p>
    <w:p>
      <w:pPr>
        <w:pStyle w:val="SourceCode"/>
      </w:pPr>
      <w:r>
        <w:rPr>
          <w:rStyle w:val="DataTypeTok"/>
        </w:rPr>
        <w:t xml:space="preserve">int</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string</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c</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p>
    <w:p>
      <w:pPr>
        <w:pStyle w:val="FirstParagraph"/>
      </w:pPr>
      <w:r>
        <w:t xml:space="preserve">It is possible, however, to have two methods with the same name, as long as they have different signatures.</w:t>
      </w:r>
      <w:r>
        <w:t xml:space="preserve"> </w:t>
      </w:r>
      <w:r>
        <w:t xml:space="preserve">If we are in such a situation, then we say that we are</w:t>
      </w:r>
      <w:r>
        <w:t xml:space="preserve"> </w:t>
      </w:r>
      <w:r>
        <w:rPr>
          <w:iCs/>
          <w:i/>
        </w:rPr>
        <w:t xml:space="preserve">overloading</w:t>
      </w:r>
      <w:r>
        <w:t xml:space="preserve">.</w:t>
      </w:r>
      <w:r>
        <w:t xml:space="preserve"> </w:t>
      </w:r>
      <w:r>
        <w:t xml:space="preserve">We will look at examples of overloading in lab.</w:t>
      </w:r>
    </w:p>
    <w:bookmarkEnd w:id="75"/>
    <w:bookmarkStart w:id="76" w:name="tostring"/>
    <w:p>
      <w:pPr>
        <w:pStyle w:val="Heading1"/>
      </w:pPr>
      <w:r>
        <w:t xml:space="preserve">ToString</w:t>
      </w:r>
    </w:p>
    <w:p>
      <w:pPr>
        <w:pStyle w:val="FirstParagraph"/>
      </w:pPr>
      <w:r>
        <w:t xml:space="preserve">A particular method can be used to display information about our objects. It is called</w:t>
      </w:r>
      <w:r>
        <w:t xml:space="preserve"> </w:t>
      </w:r>
      <w:r>
        <w:rPr>
          <w:rStyle w:val="NormalTok"/>
        </w:rPr>
        <w:t xml:space="preserve">ToString</w:t>
      </w:r>
      <w:r>
        <w:t xml:space="preserve">, and can be defined as follows: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"Person: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p>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18"/>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18"/>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18"/>
        </w:numPr>
        <w:pStyle w:val="Compact"/>
      </w:pPr>
      <w:r>
        <w:t xml:space="preserve">If there is a quiz scheduled, then they will proceed to distribute it, otherwise they may start the class.</w:t>
      </w:r>
    </w:p>
    <w:p>
      <w:pPr>
        <w:numPr>
          <w:ilvl w:val="0"/>
          <w:numId w:val="1218"/>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19"/>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19"/>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20"/>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20"/>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20"/>
        </w:numPr>
        <w:pStyle w:val="Compact"/>
      </w:pPr>
      <w:r>
        <w:t xml:space="preserve">The curly braces can be removed if the statement block is just one statement.</w:t>
      </w:r>
    </w:p>
    <w:p>
      <w:pPr>
        <w:numPr>
          <w:ilvl w:val="0"/>
          <w:numId w:val="1220"/>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21"/>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21"/>
        </w:numPr>
        <w:pStyle w:val="Compact"/>
      </w:pPr>
      <w:r>
        <w:t xml:space="preserve">We could remove the braces</w:t>
      </w:r>
    </w:p>
    <w:p>
      <w:pPr>
        <w:numPr>
          <w:ilvl w:val="0"/>
          <w:numId w:val="1221"/>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22"/>
        </w:numPr>
        <w:pStyle w:val="Compact"/>
      </w:pPr>
      <w:r>
        <w:t xml:space="preserve">All the literals need to be different.</w:t>
      </w:r>
    </w:p>
    <w:p>
      <w:pPr>
        <w:numPr>
          <w:ilvl w:val="0"/>
          <w:numId w:val="1222"/>
        </w:numPr>
        <w:pStyle w:val="Compact"/>
      </w:pPr>
      <w:r>
        <w:t xml:space="preserve">The literal and the variable have to be of the same type.</w:t>
      </w:r>
    </w:p>
    <w:p>
      <w:pPr>
        <w:numPr>
          <w:ilvl w:val="0"/>
          <w:numId w:val="1222"/>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23"/>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23"/>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23"/>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24"/>
        </w:numPr>
        <w:pStyle w:val="Compact"/>
      </w:pPr>
      <w:r>
        <w:t xml:space="preserve">When we want to store a collection of related values,</w:t>
      </w:r>
    </w:p>
    <w:p>
      <w:pPr>
        <w:numPr>
          <w:ilvl w:val="0"/>
          <w:numId w:val="1224"/>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25"/>
        </w:numPr>
        <w:pStyle w:val="Compact"/>
      </w:pPr>
      <w:r>
        <w:t xml:space="preserve">Increment the counter in the body of the for loop!</w:t>
      </w:r>
    </w:p>
    <w:p>
      <w:pPr>
        <w:numPr>
          <w:ilvl w:val="0"/>
          <w:numId w:val="122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25"/>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77"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81"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77"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81"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2021-05-27T23:45:31Z</dcterms:created>
  <dcterms:modified xsi:type="dcterms:W3CDTF">2021-05-27T23:45:31Z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(11:45:05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