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Datatypes</w:t>
      </w:r>
      <w:r>
        <w:t xml:space="preserve"> </w:t>
      </w:r>
      <w:r>
        <w:t xml:space="preserve">in</w:t>
      </w:r>
      <w:r>
        <w:t xml:space="preserve"> </w:t>
      </w:r>
      <w:r>
        <w:t xml:space="preserve">C#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3, 2021 (02:42:00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value-types"/>
    <w:p>
      <w:pPr>
        <w:pStyle w:val="Heading1"/>
      </w:pPr>
      <w:r>
        <w:t xml:space="preserve">Value Types</w:t>
      </w:r>
    </w:p>
    <w:bookmarkStart w:id="24" w:name="numeric"/>
    <w:p>
      <w:pPr>
        <w:pStyle w:val="Heading2"/>
      </w:pPr>
      <w:r>
        <w:t xml:space="preserve">Numeric</w:t>
      </w:r>
    </w:p>
    <w:bookmarkStart w:id="21" w:name="signed-integer"/>
    <w:p>
      <w:pPr>
        <w:pStyle w:val="Heading3"/>
      </w:pPr>
      <w:r>
        <w:t xml:space="preserve">Signed Integer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721"/>
        <w:gridCol w:w="4476"/>
        <w:gridCol w:w="1721"/>
      </w:tblGrid>
      <w:tr>
        <w:tc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sbyte</w:t>
            </w:r>
          </w:p>
        </w:tc>
        <w:tc>
          <w:p>
            <w:pPr>
              <w:pStyle w:val="Compact"/>
              <w:jc w:val="center"/>
            </w:pPr>
            <w:r>
              <w:t xml:space="preserve">-128 to 127</w:t>
            </w:r>
          </w:p>
        </w:tc>
        <w:tc>
          <w:p>
            <w:pPr>
              <w:pStyle w:val="Compact"/>
              <w:jc w:val="center"/>
            </w:pPr>
            <w:r>
              <w:t xml:space="preserve">Signed 8-bit integer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short</w:t>
            </w:r>
          </w:p>
        </w:tc>
        <w:tc>
          <w:p>
            <w:pPr>
              <w:pStyle w:val="Compact"/>
              <w:jc w:val="center"/>
            </w:pPr>
            <w:r>
              <w:t xml:space="preserve">-32,768 to 32,767</w:t>
            </w:r>
          </w:p>
        </w:tc>
        <w:tc>
          <w:p>
            <w:pPr>
              <w:pStyle w:val="Compact"/>
              <w:jc w:val="center"/>
            </w:pPr>
            <w:r>
              <w:t xml:space="preserve">Signed 16-bit integer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p>
            <w:pPr>
              <w:pStyle w:val="Compact"/>
              <w:jc w:val="center"/>
            </w:pPr>
            <w:r>
              <w:t xml:space="preserve">-2,147,483,648 to 2,147,483,647</w:t>
            </w:r>
          </w:p>
        </w:tc>
        <w:tc>
          <w:p>
            <w:pPr>
              <w:pStyle w:val="Compact"/>
              <w:jc w:val="center"/>
            </w:pPr>
            <w:r>
              <w:t xml:space="preserve">Signed 32-bit integer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long</w:t>
            </w:r>
          </w:p>
        </w:tc>
        <w:tc>
          <w:p>
            <w:pPr>
              <w:pStyle w:val="Compact"/>
              <w:jc w:val="center"/>
            </w:pPr>
            <w:r>
              <w:t xml:space="preserve">-9,223,372,036,854,775,808 to 9,223,372,036,854,775,807</w:t>
            </w:r>
          </w:p>
        </w:tc>
        <w:tc>
          <w:p>
            <w:pPr>
              <w:pStyle w:val="Compact"/>
              <w:jc w:val="center"/>
            </w:pPr>
            <w:r>
              <w:t xml:space="preserve">Signed 64-bit integer</w:t>
            </w:r>
          </w:p>
        </w:tc>
      </w:tr>
    </w:tbl>
    <w:bookmarkEnd w:id="21"/>
    <w:bookmarkStart w:id="22" w:name="unsigned-integer"/>
    <w:p>
      <w:pPr>
        <w:pStyle w:val="Heading3"/>
      </w:pPr>
      <w:r>
        <w:t xml:space="preserve">Unsigned Integer</w:t>
      </w:r>
    </w:p>
    <w:tbl>
      <w:tblPr>
        <w:tblStyle w:val="Table"/>
        <w:tblW w:type="pct" w:w="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byte</w:t>
            </w:r>
          </w:p>
        </w:tc>
        <w:tc>
          <w:p>
            <w:pPr>
              <w:pStyle w:val="Compact"/>
              <w:jc w:val="center"/>
            </w:pPr>
            <w:r>
              <w:t xml:space="preserve">0 to 255</w:t>
            </w:r>
          </w:p>
        </w:tc>
        <w:tc>
          <w:p>
            <w:pPr>
              <w:pStyle w:val="Compact"/>
              <w:jc w:val="center"/>
            </w:pPr>
            <w:r>
              <w:t xml:space="preserve">Unsigned 8-bit integer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ushort</w:t>
            </w:r>
          </w:p>
        </w:tc>
        <w:tc>
          <w:p>
            <w:pPr>
              <w:pStyle w:val="Compact"/>
              <w:jc w:val="center"/>
            </w:pPr>
            <w:r>
              <w:t xml:space="preserve">0 to 65,535</w:t>
            </w:r>
          </w:p>
        </w:tc>
        <w:tc>
          <w:p>
            <w:pPr>
              <w:pStyle w:val="Compact"/>
              <w:jc w:val="center"/>
            </w:pPr>
            <w:r>
              <w:t xml:space="preserve">Unsigned 16-bit integer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uint</w:t>
            </w:r>
          </w:p>
        </w:tc>
        <w:tc>
          <w:p>
            <w:pPr>
              <w:pStyle w:val="Compact"/>
              <w:jc w:val="center"/>
            </w:pPr>
            <w:r>
              <w:t xml:space="preserve">0 to 4,294,967,295</w:t>
            </w:r>
          </w:p>
        </w:tc>
        <w:tc>
          <w:p>
            <w:pPr>
              <w:pStyle w:val="Compact"/>
              <w:jc w:val="center"/>
            </w:pPr>
            <w:r>
              <w:t xml:space="preserve">Unsigned 32-bit integer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ulong</w:t>
            </w:r>
          </w:p>
        </w:tc>
        <w:tc>
          <w:p>
            <w:pPr>
              <w:pStyle w:val="Compact"/>
              <w:jc w:val="center"/>
            </w:pPr>
            <w:r>
              <w:t xml:space="preserve">0 to 18,446,744,073,709,551,615</w:t>
            </w:r>
          </w:p>
        </w:tc>
        <w:tc>
          <w:p>
            <w:pPr>
              <w:pStyle w:val="Compact"/>
              <w:jc w:val="center"/>
            </w:pPr>
            <w:r>
              <w:t xml:space="preserve">Unsigned 64-bit integer</w:t>
            </w:r>
          </w:p>
        </w:tc>
      </w:tr>
    </w:tbl>
    <w:bookmarkEnd w:id="22"/>
    <w:bookmarkStart w:id="23" w:name="floating-point-numbers"/>
    <w:p>
      <w:pPr>
        <w:pStyle w:val="Heading3"/>
      </w:pPr>
      <w:r>
        <w:t xml:space="preserve">Floating-point Numbers</w:t>
      </w:r>
    </w:p>
    <w:tbl>
      <w:tblPr>
        <w:tblStyle w:val="Table"/>
        <w:tblW w:type="pct" w:w="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p>
            <w:pPr>
              <w:pStyle w:val="Compact"/>
              <w:jc w:val="center"/>
            </w:pPr>
            <w:r>
              <w:t xml:space="preserve">Approximate Range</w:t>
            </w:r>
          </w:p>
        </w:tc>
        <w:tc>
          <w:p>
            <w:pPr>
              <w:pStyle w:val="Compact"/>
              <w:jc w:val="center"/>
            </w:pPr>
            <w:r>
              <w:t xml:space="preserve">Precision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p>
            <w:pPr>
              <w:pStyle w:val="Compact"/>
              <w:jc w:val="center"/>
            </w:pPr>
            <w:r>
              <w:t xml:space="preserve">±1.5e−45 to ±3.4e38</w:t>
            </w:r>
          </w:p>
        </w:tc>
        <w:tc>
          <w:p>
            <w:pPr>
              <w:pStyle w:val="Compact"/>
              <w:jc w:val="center"/>
            </w:pPr>
            <w:r>
              <w:t xml:space="preserve">7 digits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p>
            <w:pPr>
              <w:pStyle w:val="Compact"/>
              <w:jc w:val="center"/>
            </w:pPr>
            <w:r>
              <w:t xml:space="preserve">±5.0e−324 to ±1.7e308</w:t>
            </w:r>
          </w:p>
        </w:tc>
        <w:tc>
          <w:p>
            <w:pPr>
              <w:pStyle w:val="Compact"/>
              <w:jc w:val="center"/>
            </w:pPr>
            <w:r>
              <w:t xml:space="preserve">15–16 digits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p>
            <w:pPr>
              <w:pStyle w:val="Compact"/>
              <w:jc w:val="center"/>
            </w:pPr>
            <w:r>
              <w:t xml:space="preserve">(-7.9 x 1028 to 7.9 x 1028)/(100 to 1028)</w:t>
            </w:r>
          </w:p>
        </w:tc>
        <w:tc>
          <w:p>
            <w:pPr>
              <w:pStyle w:val="Compact"/>
              <w:jc w:val="center"/>
            </w:pPr>
            <w:r>
              <w:t xml:space="preserve">28–29 significant digits</w:t>
            </w:r>
          </w:p>
        </w:tc>
      </w:tr>
    </w:tbl>
    <w:bookmarkEnd w:id="23"/>
    <w:bookmarkEnd w:id="24"/>
    <w:bookmarkStart w:id="25" w:name="logical"/>
    <w:p>
      <w:pPr>
        <w:pStyle w:val="Heading2"/>
      </w:pPr>
      <w:r>
        <w:t xml:space="preserve">Logical</w:t>
      </w:r>
    </w:p>
    <w:tbl>
      <w:tblPr>
        <w:tblStyle w:val="Table"/>
        <w:tblW w:type="pct" w:w="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p>
            <w:pPr>
              <w:pStyle w:val="Compact"/>
              <w:jc w:val="center"/>
            </w:pPr>
            <w:r>
              <w:t xml:space="preserve">Possible Values</w:t>
            </w:r>
          </w:p>
        </w:tc>
        <w:tc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p>
            <w:pPr>
              <w:pStyle w:val="Compact"/>
              <w:jc w:val="center"/>
            </w:pPr>
            <w:r>
              <w:t xml:space="preserve">8-bit</w:t>
            </w:r>
          </w:p>
        </w:tc>
      </w:tr>
    </w:tbl>
    <w:bookmarkEnd w:id="25"/>
    <w:bookmarkStart w:id="26" w:name="character"/>
    <w:p>
      <w:pPr>
        <w:pStyle w:val="Heading2"/>
      </w:pPr>
      <w:r>
        <w:t xml:space="preserve">Character</w:t>
      </w:r>
    </w:p>
    <w:tbl>
      <w:tblPr>
        <w:tblStyle w:val="Table"/>
        <w:tblW w:type="pct" w:w="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p>
            <w:pPr>
              <w:pStyle w:val="Compact"/>
              <w:jc w:val="center"/>
            </w:pPr>
            <w:r>
              <w:t xml:space="preserve">U+0000 to U+ffff</w:t>
            </w:r>
          </w:p>
        </w:tc>
        <w:tc>
          <w:p>
            <w:pPr>
              <w:pStyle w:val="Compact"/>
              <w:jc w:val="center"/>
            </w:pPr>
            <w:r>
              <w:t xml:space="preserve">Unicode 16-bit character</w:t>
            </w:r>
          </w:p>
        </w:tc>
      </w:tr>
    </w:tbl>
    <w:bookmarkEnd w:id="26"/>
    <w:bookmarkEnd w:id="27"/>
    <w:bookmarkStart w:id="28" w:name="literals"/>
    <w:p>
      <w:pPr>
        <w:pStyle w:val="Heading1"/>
      </w:pPr>
      <w:r>
        <w:t xml:space="preserve">Literals</w:t>
      </w:r>
    </w:p>
    <w:tbl>
      <w:tblPr>
        <w:tblStyle w:val="Table"/>
        <w:tblW w:type="pct" w:w="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center"/>
            </w:pPr>
            <w:r>
              <w:t xml:space="preserve">Name</w:t>
            </w:r>
          </w:p>
        </w:tc>
        <w:tc>
          <w:p>
            <w:pPr>
              <w:pStyle w:val="Compact"/>
              <w:jc w:val="center"/>
            </w:pPr>
            <w:r>
              <w:t xml:space="preserve">Corresponding datatype</w:t>
            </w:r>
          </w:p>
        </w:tc>
        <w:tc>
          <w:p>
            <w:pPr>
              <w:pStyle w:val="Compact"/>
              <w:jc w:val="center"/>
            </w:pPr>
            <w:r>
              <w:t xml:space="preserve">Examples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Integer Literal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40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DecValTok"/>
              </w:rPr>
              <w:t xml:space="preserve">39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291838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0</w:t>
            </w:r>
            <w:r>
              <w:t xml:space="preserve">, …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Float Literal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3.5F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43.5f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309430.70006F</w:t>
            </w:r>
            <w:r>
              <w:t xml:space="preserve">, …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Double Literal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28.98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239.0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391.089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0.0</w:t>
            </w:r>
            <w:r>
              <w:t xml:space="preserve">, …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Decimal Literal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8.95m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3283.9M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NormalTok"/>
              </w:rPr>
              <w:t xml:space="preserve">30m</w:t>
            </w:r>
            <w:r>
              <w:t xml:space="preserve">, …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Boolean Literal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Character Literal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CharTok"/>
              </w:rPr>
              <w:t xml:space="preserve">'Y'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'a'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'0'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'\n'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'\x0058'</w:t>
            </w:r>
            <w:r>
              <w:t xml:space="preserve">,</w:t>
            </w:r>
            <w:r>
              <w:t xml:space="preserve"> </w:t>
            </w:r>
            <w:r>
              <w:rPr>
                <w:rStyle w:val="NormalTok"/>
              </w:rPr>
              <w:t xml:space="preserve">'\u0058'</w:t>
            </w:r>
            <w:r>
              <w:t xml:space="preserve">, …</w:t>
            </w:r>
          </w:p>
        </w:tc>
      </w:tr>
    </w:tbl>
    <w:bookmarkEnd w:id="28"/>
    <w:bookmarkStart w:id="29" w:name="compatibility"/>
    <w:p>
      <w:pPr>
        <w:pStyle w:val="Heading1"/>
      </w:pPr>
      <w:r>
        <w:t xml:space="preserve">Compatibility</w:t>
      </w:r>
    </w:p>
    <w:tbl>
      <w:tblPr>
        <w:tblStyle w:val="Table"/>
        <w:tblW w:type="pct" w:w="0"/>
        <w:tblLook w:firstRow="1" w:lastRow="0" w:firstColumn="0" w:lastColumn="0" w:noHBand="0" w:noVBand="0" w:val="0020"/>
      </w:tblPr>
      <w:tblGrid/>
      <w:tr>
        <w:tc>
          <w:p/>
        </w:tc>
        <w:tc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Integer Literal</w:t>
            </w:r>
          </w:p>
        </w:tc>
        <w:tc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Float Literal</w:t>
            </w:r>
          </w:p>
        </w:tc>
        <w:tc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Double Literal</w:t>
            </w:r>
          </w:p>
        </w:tc>
        <w:tc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Decimal Literal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</w:tr>
    </w:tbl>
    <w:bookmarkEnd w:id="29"/>
    <w:bookmarkStart w:id="30" w:name="result-type-of-operations"/>
    <w:p>
      <w:pPr>
        <w:pStyle w:val="Heading1"/>
      </w:pPr>
      <w:r>
        <w:t xml:space="preserve">Result Type of Operations</w:t>
      </w:r>
    </w:p>
    <w:tbl>
      <w:tblPr>
        <w:tblStyle w:val="Table"/>
        <w:tblW w:type="pct" w:w="0"/>
        <w:tblLook w:firstRow="1" w:lastRow="0" w:firstColumn="0" w:lastColumn="0" w:noHBand="0" w:noVBand="0" w:val="0020"/>
      </w:tblPr>
      <w:tblGrid/>
      <w:tr>
        <w:tc>
          <w:p/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</w:tbl>
    <w:bookmarkEnd w:id="30"/>
    <w:bookmarkStart w:id="37" w:name="references"/>
    <w:p>
      <w:pPr>
        <w:pStyle w:val="Heading1"/>
      </w:pPr>
      <w:r>
        <w:t xml:space="preserve">References</w:t>
      </w:r>
    </w:p>
    <w:p>
      <w:pPr>
        <w:numPr>
          <w:ilvl w:val="0"/>
          <w:numId w:val="1001"/>
        </w:numPr>
        <w:pStyle w:val="Compact"/>
      </w:pPr>
      <w:hyperlink r:id="rId31">
        <w:r>
          <w:rPr>
            <w:rStyle w:val="Hyperlink"/>
          </w:rPr>
          <w:t xml:space="preserve">https://docs.microsoft.com/en-us/dotnet/csharp/tour-of-csharp/types-and-variables</w:t>
        </w:r>
      </w:hyperlink>
    </w:p>
    <w:p>
      <w:pPr>
        <w:numPr>
          <w:ilvl w:val="0"/>
          <w:numId w:val="1001"/>
        </w:numPr>
        <w:pStyle w:val="Compact"/>
      </w:pPr>
      <w:hyperlink r:id="rId32">
        <w:r>
          <w:rPr>
            <w:rStyle w:val="Hyperlink"/>
          </w:rPr>
          <w:t xml:space="preserve">https://docs.microsoft.com/en-us/dotnet/csharp/language-reference/keywords/integral-types-table</w:t>
        </w:r>
      </w:hyperlink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https://docs.microsoft.com/en-us/dotnet/csharp/language-reference/keywords/floating-point-types-table</w:t>
        </w:r>
      </w:hyperlink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https://docs.microsoft.com/en-us/dotnet/csharp/language-reference/keywords/value-types-table</w:t>
        </w:r>
      </w:hyperlink>
    </w:p>
    <w:p>
      <w:pPr>
        <w:numPr>
          <w:ilvl w:val="0"/>
          <w:numId w:val="1001"/>
        </w:numPr>
        <w:pStyle w:val="Compact"/>
      </w:pPr>
      <w:hyperlink r:id="rId35">
        <w:r>
          <w:rPr>
            <w:rStyle w:val="Hyperlink"/>
          </w:rPr>
          <w:t xml:space="preserve">https://docs.microsoft.com/en-us/dotnet/csharp/language-reference/keywords/implicit-numeric-conversions-table</w:t>
        </w:r>
      </w:hyperlink>
    </w:p>
    <w:p>
      <w:pPr>
        <w:numPr>
          <w:ilvl w:val="0"/>
          <w:numId w:val="1001"/>
        </w:numPr>
        <w:pStyle w:val="Compact"/>
      </w:pPr>
      <w:hyperlink r:id="rId36">
        <w:r>
          <w:rPr>
            <w:rStyle w:val="Hyperlink"/>
          </w:rPr>
          <w:t xml:space="preserve">https://docs.microsoft.com/en-us/dotnet/csharp/language-reference/keywords/explicit-numeric-conversions-table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Datatypes in C#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2021-06-03T02:42:08Z</dcterms:created>
  <dcterms:modified xsi:type="dcterms:W3CDTF">2021-06-03T02:42:08Z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3, 2021 (02:42:00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