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Datatypes</w:t>
      </w:r>
      <w:r>
        <w:t xml:space="preserve"> </w:t>
      </w:r>
      <w:r>
        <w:t xml:space="preserve">in</w:t>
      </w:r>
      <w:r>
        <w:t xml:space="preserve"> </w:t>
      </w:r>
      <w:r>
        <w:t xml:space="preserve">C#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30, 2021 (03:52:34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value-types"/>
    <w:p>
      <w:pPr>
        <w:pStyle w:val="Heading1"/>
      </w:pPr>
      <w:r>
        <w:t xml:space="preserve">Value Types</w:t>
      </w:r>
    </w:p>
    <w:bookmarkStart w:id="24" w:name="numeric"/>
    <w:p>
      <w:pPr>
        <w:pStyle w:val="Heading2"/>
      </w:pPr>
      <w:r>
        <w:t xml:space="preserve">Numeric</w:t>
      </w:r>
    </w:p>
    <w:bookmarkStart w:id="21" w:name="signed-integer"/>
    <w:p>
      <w:pPr>
        <w:pStyle w:val="Heading3"/>
      </w:pPr>
      <w:r>
        <w:t xml:space="preserve">Signed Integer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21"/>
        <w:gridCol w:w="4476"/>
        <w:gridCol w:w="1721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-128 to 127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-32,768 to 32,767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-2,147,483,648 to 2,147,483,647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-9,223,372,036,854,775,808 to 9,223,372,036,854,775,807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64-bit integer</w:t>
            </w:r>
          </w:p>
        </w:tc>
      </w:tr>
    </w:tbl>
    <w:bookmarkEnd w:id="21"/>
    <w:bookmarkStart w:id="22" w:name="unsigned-integer"/>
    <w:p>
      <w:pPr>
        <w:pStyle w:val="Heading3"/>
      </w:pPr>
      <w:r>
        <w:t xml:space="preserve">Unsigned Integer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255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65,535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4,294,967,295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18,446,744,073,709,551,615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64-bit integer</w:t>
            </w:r>
          </w:p>
        </w:tc>
      </w:tr>
    </w:tbl>
    <w:bookmarkEnd w:id="22"/>
    <w:bookmarkStart w:id="23" w:name="floating-point-numbers"/>
    <w:p>
      <w:pPr>
        <w:pStyle w:val="Heading3"/>
      </w:pPr>
      <w:r>
        <w:t xml:space="preserve">Floating-point Numbers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Approximate 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Precision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±1.5e−45 to ±3.4e38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±5.0e−324 to ±1.7e308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15–16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(-7.9 x 1028 to 7.9 x 1028)/(100 to 1028)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28–29 significant digits</w:t>
            </w:r>
          </w:p>
        </w:tc>
      </w:tr>
    </w:tbl>
    <w:bookmarkEnd w:id="23"/>
    <w:bookmarkEnd w:id="24"/>
    <w:bookmarkStart w:id="25" w:name="logical"/>
    <w:p>
      <w:pPr>
        <w:pStyle w:val="Heading2"/>
      </w:pPr>
      <w:r>
        <w:t xml:space="preserve">Logical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8-bit</w:t>
            </w:r>
          </w:p>
        </w:tc>
      </w:tr>
    </w:tbl>
    <w:bookmarkEnd w:id="25"/>
    <w:bookmarkStart w:id="26" w:name="character"/>
    <w:p>
      <w:pPr>
        <w:pStyle w:val="Heading2"/>
      </w:pPr>
      <w:r>
        <w:t xml:space="preserve">Character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U+0000 to U+ffff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Unicode 16-bit character</w:t>
            </w:r>
          </w:p>
        </w:tc>
      </w:tr>
    </w:tbl>
    <w:bookmarkEnd w:id="26"/>
    <w:bookmarkEnd w:id="27"/>
    <w:bookmarkStart w:id="28" w:name="literals"/>
    <w:p>
      <w:pPr>
        <w:pStyle w:val="Heading1"/>
      </w:pPr>
      <w:r>
        <w:t xml:space="preserve">Literals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Corresponding datatype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Examples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DecValTok"/>
              </w:rPr>
              <w:t xml:space="preserve">39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291838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3.5F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43.5f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309430.70006F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28.98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239.0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391.089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0.0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Decimal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8.95m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3283.9M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NormalTok"/>
              </w:rPr>
              <w:t xml:space="preserve">30m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Boolean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Character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CharTok"/>
              </w:rPr>
              <w:t xml:space="preserve">'Y'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'a'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'0'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'\n'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'\x0058'</w:t>
            </w:r>
            <w:r>
              <w:t xml:space="preserve">,</w:t>
            </w:r>
            <w:r>
              <w:t xml:space="preserve"> </w:t>
            </w:r>
            <w:r>
              <w:rPr>
                <w:rStyle w:val="NormalTok"/>
              </w:rPr>
              <w:t xml:space="preserve">'\u0058'</w:t>
            </w:r>
            <w:r>
              <w:t xml:space="preserve">, …</w:t>
            </w:r>
          </w:p>
        </w:tc>
      </w:tr>
    </w:tbl>
    <w:bookmarkEnd w:id="28"/>
    <w:bookmarkStart w:id="29" w:name="compatibility"/>
    <w:p>
      <w:pPr>
        <w:pStyle w:val="Heading1"/>
      </w:pPr>
      <w:r>
        <w:t xml:space="preserve">Compatibility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Decimal Literal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</w:tr>
    </w:tbl>
    <w:bookmarkEnd w:id="29"/>
    <w:bookmarkStart w:id="30" w:name="result-type-of-operations"/>
    <w:p>
      <w:pPr>
        <w:pStyle w:val="Heading1"/>
      </w:pPr>
      <w:r>
        <w:t xml:space="preserve">Result Type of Operations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</w:tbl>
    <w:bookmarkEnd w:id="30"/>
    <w:bookmarkStart w:id="37" w:name="references"/>
    <w:p>
      <w:pPr>
        <w:pStyle w:val="Heading1"/>
      </w:pPr>
      <w:r>
        <w:t xml:space="preserve">References</w:t>
      </w:r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https://docs.microsoft.com/en-us/dotnet/csharp/tour-of-csharp/types-and-variables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https://docs.microsoft.com/en-us/dotnet/csharp/language-reference/keywords/integral-types-table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https://docs.microsoft.com/en-us/dotnet/csharp/language-reference/keywords/floating-point-types-table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https://docs.microsoft.com/en-us/dotnet/csharp/language-reference/keywords/value-types-table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https://docs.microsoft.com/en-us/dotnet/csharp/language-reference/keywords/implicit-numeric-conversions-table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https://docs.microsoft.com/en-us/dotnet/csharp/language-reference/keywords/explicit-numeric-conversions-table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Datatypes in C#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2021-06-30T19:52:42Z</dcterms:created>
  <dcterms:modified xsi:type="dcterms:W3CDTF">2021-06-30T19:52:42Z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30, 2021 (03:52:34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