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(08:30:32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value stored at the variable (second argument)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ask the user for input, then check that the input is valid according to the specific problem, and</w:t>
      </w:r>
      <w:r>
        <w:t xml:space="preserve"> </w:t>
      </w:r>
      <w:r>
        <w:rPr>
          <w:iCs/>
          <w:i/>
        </w:rPr>
        <w:t xml:space="preserve">only then</w:t>
      </w:r>
      <w:r>
        <w:t xml:space="preserve"> </w:t>
      </w:r>
      <w:r>
        <w:t xml:space="preserve">perform the subsequent action. If the provided input is not valid, request new input from user until the user provides valid input.</w:t>
      </w:r>
    </w:p>
    <w:p>
      <w:pPr>
        <w:numPr>
          <w:ilvl w:val="0"/>
          <w:numId w:val="1002"/>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2"/>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3"/>
        </w:numPr>
        <w:pStyle w:val="Compact"/>
      </w:pPr>
      <w:r>
        <w:t xml:space="preserve">if user enters 5, compute the sum of: 1 + 2 + 3 + 4 + 5, then display 15 at the screen</w:t>
      </w:r>
    </w:p>
    <w:p>
      <w:pPr>
        <w:numPr>
          <w:ilvl w:val="0"/>
          <w:numId w:val="1003"/>
        </w:numPr>
        <w:pStyle w:val="Compact"/>
      </w:pPr>
      <w:r>
        <w:t xml:space="preserve">if user enters 8, compute: 1 + 2 + 3 + 4 + 5 + 6 + 7 + 8, then display 36 at the screen</w:t>
      </w:r>
    </w:p>
    <w:p>
      <w:pPr>
        <w:numPr>
          <w:ilvl w:val="0"/>
          <w:numId w:val="1004"/>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reading through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LoanCalculatorSol.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2021-06-17T00:30:43Z</dcterms:created>
  <dcterms:modified xsi:type="dcterms:W3CDTF">2021-06-17T00:30:43Z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