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16, 2021 (08:22:28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value stored at the variable (second argument)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p>
      <w:pPr>
        <w:pStyle w:val="BodyText"/>
      </w:pPr>
      <w:r>
        <w:t xml:space="preserve">int.TryParse</w:t>
      </w:r>
    </w:p>
    <w:p>
      <w:pPr>
        <w:pStyle w:val="BodyText"/>
      </w:pPr>
      <w:r>
        <w:t xml:space="preserve">double.TryParse</w:t>
      </w:r>
    </w:p>
    <w:p>
      <w:pPr>
        <w:pStyle w:val="BodyText"/>
      </w:pPr>
      <w:r>
        <w:t xml:space="preserve">Input</w:t>
      </w:r>
    </w:p>
    <w:p>
      <w:pPr>
        <w:pStyle w:val="BodyText"/>
      </w:pPr>
      <w:r>
        <w:t xml:space="preserve">returns</w:t>
      </w:r>
    </w:p>
    <w:p>
      <w:pPr>
        <w:pStyle w:val="BodyText"/>
      </w:pPr>
      <w:r>
        <w:t xml:space="preserve">value</w:t>
      </w:r>
    </w:p>
    <w:p>
      <w:pPr>
        <w:pStyle w:val="BodyText"/>
      </w:pPr>
      <w:r>
        <w:t xml:space="preserve">returns</w:t>
      </w:r>
    </w:p>
    <w:p>
      <w:pPr>
        <w:pStyle w:val="BodyText"/>
      </w:pPr>
      <w:r>
        <w:t xml:space="preserve">value</w:t>
      </w:r>
    </w:p>
    <w:p>
      <w:pPr>
        <w:pStyle w:val="BodyText"/>
      </w:pPr>
      <w:r>
        <w:t xml:space="preserve">“</w:t>
      </w:r>
      <w:r>
        <w:t xml:space="preserve">9432.0</w:t>
      </w:r>
      <w:r>
        <w:t xml:space="preserve">”</w:t>
      </w:r>
    </w:p>
    <w:p>
      <w:pPr>
        <w:pStyle w:val="BodyText"/>
      </w:pPr>
      <w:r>
        <w:t xml:space="preserve">false</w:t>
      </w:r>
    </w:p>
    <w:p>
      <w:pPr>
        <w:pStyle w:val="BodyText"/>
      </w:pPr>
      <w:r>
        <w:t xml:space="preserve">0</w:t>
      </w:r>
    </w:p>
    <w:p>
      <w:pPr>
        <w:pStyle w:val="BodyText"/>
      </w:pPr>
      <w:r>
        <w:t xml:space="preserve">true</w:t>
      </w:r>
    </w:p>
    <w:p>
      <w:pPr>
        <w:pStyle w:val="BodyText"/>
      </w:pPr>
      <w:r>
        <w:t xml:space="preserve">9432.0</w:t>
      </w:r>
    </w:p>
    <w:p>
      <w:pPr>
        <w:pStyle w:val="BodyText"/>
      </w:pPr>
      <w:r>
        <w:t xml:space="preserve">“</w:t>
      </w:r>
      <w:r>
        <w:t xml:space="preserve">160519</w:t>
      </w:r>
      <w:r>
        <w:t xml:space="preserve">”</w:t>
      </w:r>
    </w:p>
    <w:p>
      <w:pPr>
        <w:pStyle w:val="BodyText"/>
      </w:pPr>
      <w:r>
        <w:t xml:space="preserve">true</w:t>
      </w:r>
    </w:p>
    <w:p>
      <w:pPr>
        <w:pStyle w:val="BodyText"/>
      </w:pPr>
      <w:r>
        <w:t xml:space="preserve">160519</w:t>
      </w:r>
    </w:p>
    <w:p>
      <w:pPr>
        <w:pStyle w:val="BodyText"/>
      </w:pPr>
      <w:r>
        <w:t xml:space="preserve">true</w:t>
      </w:r>
    </w:p>
    <w:p>
      <w:pPr>
        <w:pStyle w:val="BodyText"/>
      </w:pPr>
      <w:r>
        <w:t xml:space="preserve">160519</w:t>
      </w:r>
    </w:p>
    <w:p>
      <w:pPr>
        <w:pStyle w:val="BodyText"/>
      </w:pPr>
      <w:r>
        <w:t xml:space="preserve">“</w:t>
      </w:r>
      <w:r>
        <w:t xml:space="preserve">12,804</w:t>
      </w:r>
      <w:r>
        <w:t xml:space="preserve">”</w:t>
      </w:r>
    </w:p>
    <w:p>
      <w:pPr>
        <w:pStyle w:val="BodyText"/>
      </w:pPr>
      <w:r>
        <w:t xml:space="preserve">“</w:t>
      </w:r>
      <w:r>
        <w:t xml:space="preserve">+5102</w:t>
      </w:r>
      <w:r>
        <w:t xml:space="preserve">”</w:t>
      </w:r>
    </w:p>
    <w:p>
      <w:pPr>
        <w:pStyle w:val="BodyText"/>
      </w:pPr>
      <w:r>
        <w:t xml:space="preserve">“</w:t>
      </w:r>
      <w:r>
        <w:t xml:space="preserve">2+2</w:t>
      </w:r>
      <w:r>
        <w:t xml:space="preserve">”</w:t>
      </w:r>
    </w:p>
    <w:p>
      <w:pPr>
        <w:pStyle w:val="BodyText"/>
      </w:pPr>
      <w:r>
        <w:t xml:space="preserve">” -322 “</w:t>
      </w:r>
    </w:p>
    <w:p>
      <w:pPr>
        <w:pStyle w:val="BodyText"/>
      </w:pPr>
      <w:r>
        <w:t xml:space="preserve">“</w:t>
      </w:r>
      <w:r>
        <w:t xml:space="preserve">(72);</w:t>
      </w:r>
      <w:r>
        <w:t xml:space="preserve">”</w:t>
      </w:r>
    </w:p>
    <w:p>
      <w:pPr>
        <w:pStyle w:val="BodyText"/>
      </w:pPr>
      <w:r>
        <w:t xml:space="preserve">“</w:t>
      </w:r>
      <w:r>
        <w:t xml:space="preserve">000</w:t>
      </w:r>
      <w:r>
        <w:t xml:space="preserve">”</w:t>
      </w:r>
    </w:p>
    <w:p>
      <w:pPr>
        <w:pStyle w:val="BodyText"/>
      </w:pPr>
      <w:r>
        <w:t xml:space="preserve">“</w:t>
      </w:r>
      <w:r>
        <w:t xml:space="preserve">78 095</w:t>
      </w:r>
      <w:r>
        <w:t xml:space="preserve">”</w:t>
      </w:r>
    </w:p>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In the following problems ask the user for input, then check that the input is valid according to the specific problem, and</w:t>
      </w:r>
      <w:r>
        <w:t xml:space="preserve"> </w:t>
      </w:r>
      <w:r>
        <w:rPr>
          <w:iCs/>
          <w:i/>
        </w:rPr>
        <w:t xml:space="preserve">only then</w:t>
      </w:r>
      <w:r>
        <w:t xml:space="preserve"> </w:t>
      </w:r>
      <w:r>
        <w:t xml:space="preserve">perform the subsequent action. If the provided input is not valid, request new input from user until the user provides valid input.</w:t>
      </w:r>
    </w:p>
    <w:p>
      <w:pPr>
        <w:numPr>
          <w:ilvl w:val="0"/>
          <w:numId w:val="1002"/>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2"/>
        </w:numPr>
      </w:pPr>
      <w:r>
        <w:t xml:space="preserve">Ask the user to enter a positive integer, between 2 and 100 (including these boundary values 2 and 100). Make sure the value user enters is between these bounds. Then compute the sum of numbers starting from 1 up to the number user entered, and finally display that sum. Here are examples:</w:t>
      </w:r>
    </w:p>
    <w:p>
      <w:pPr>
        <w:numPr>
          <w:ilvl w:val="0"/>
          <w:numId w:val="1003"/>
        </w:numPr>
        <w:pStyle w:val="Compact"/>
      </w:pPr>
      <w:r>
        <w:t xml:space="preserve">if user enters 5, compute the sum of: 1 + 2 + 3 + 4 + 5, then display 15 at the screen</w:t>
      </w:r>
    </w:p>
    <w:p>
      <w:pPr>
        <w:numPr>
          <w:ilvl w:val="0"/>
          <w:numId w:val="1003"/>
        </w:numPr>
        <w:pStyle w:val="Compact"/>
      </w:pPr>
      <w:r>
        <w:t xml:space="preserve">if user enters 8, compute: 1 + 2 + 3 + 4 + 5 + 6 + 7 + 8, then display 36 at the screen</w:t>
      </w:r>
    </w:p>
    <w:p>
      <w:pPr>
        <w:numPr>
          <w:ilvl w:val="0"/>
          <w:numId w:val="1004"/>
        </w:numPr>
        <w:pStyle w:val="Compact"/>
      </w:pPr>
      <w:r>
        <w:t xml:space="preserve">Do this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allow user to indicate when they are done. Compute and display the average of all numbers user entered. If user entered no values,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p>
    <w:p>
      <w:pPr>
        <w:pStyle w:val="BodyText"/>
      </w:pPr>
      <w:r>
        <w:t xml:space="preserve">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 project you previously downloaded 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LoanCalculatorSol.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LoanCalculatorSol.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2021-06-17T00:22:37Z</dcterms:created>
  <dcterms:modified xsi:type="dcterms:W3CDTF">2021-06-17T00:22:37Z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(08:22:28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