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r>
        <w:t xml:space="preserve"> </w:t>
      </w:r>
      <w:r>
        <w:t xml:space="preserve">-</w:t>
      </w:r>
      <w:r>
        <w:t xml:space="preserve"> </w:t>
      </w:r>
      <w:hyperlink r:id="rId28">
        <w:r>
          <w:rPr>
            <w:rStyle w:val="Hyperlink"/>
          </w:rPr>
          <w:t xml:space="preserve">Affordable Learning Georgia’s guide</w:t>
        </w:r>
      </w:hyperlink>
      <w:r>
        <w:t xml:space="preserve"> </w:t>
      </w:r>
      <w:r>
        <w:t xml:space="preserve">-</w:t>
      </w:r>
      <w:r>
        <w:t xml:space="preserve"> </w:t>
      </w:r>
      <w:hyperlink r:id="rId29">
        <w:r>
          <w:rPr>
            <w:rStyle w:val="Hyperlink"/>
          </w:rPr>
          <w:t xml:space="preserve">Specific Review Standards from the QM Higher Education Rubric</w:t>
        </w:r>
      </w:hyperlink>
      <w:r>
        <w:t xml:space="preserve"> </w:t>
      </w:r>
      <w:r>
        <w:t xml:space="preserve">-</w:t>
      </w:r>
      <w:r>
        <w:t xml:space="preserve"> </w:t>
      </w:r>
      <w:hyperlink r:id="rId30">
        <w:r>
          <w:rPr>
            <w:rStyle w:val="Hyperlink"/>
          </w:rPr>
          <w:t xml:space="preserve">UWG Accessibility Services’s guide</w:t>
        </w:r>
      </w:hyperlink>
      <w:r>
        <w:t xml:space="preserve"> </w:t>
      </w:r>
      <w:r>
        <w:t xml:space="preserve">-</w:t>
      </w:r>
      <w:r>
        <w:t xml:space="preserve"> </w:t>
      </w:r>
      <w:hyperlink r:id="rId31">
        <w:r>
          <w:rPr>
            <w:rStyle w:val="Hyperlink"/>
          </w:rPr>
          <w:t xml:space="preserve">Penn State’s recommendations for alternative text and complex images.</w:t>
        </w:r>
      </w:hyperlink>
      <w:r>
        <w:br/>
      </w:r>
      <w:r>
        <w:t xml:space="preserve">-</w:t>
      </w:r>
      <w:r>
        <w:t xml:space="preserve"> </w:t>
      </w:r>
      <w:hyperlink r:id="rId32">
        <w:r>
          <w:rPr>
            <w:rStyle w:val="Hyperlink"/>
          </w:rPr>
          <w:t xml:space="preserve">WebAim Color Contrast Checker</w:t>
        </w:r>
      </w:hyperlink>
      <w:r>
        <w:t xml:space="preserve"> </w:t>
      </w:r>
      <w:r>
        <w:t xml:space="preserve">-</w:t>
      </w:r>
      <w:r>
        <w:t xml:space="preserve"> </w:t>
      </w: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6">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4"/>
        </w:numPr>
        <w:pStyle w:val="Compact"/>
      </w:pPr>
      <w:hyperlink r:id="rId49">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61">
        <w:r>
          <w:rPr>
            <w:rStyle w:val="Hyperlink"/>
          </w:rPr>
          <w:t xml:space="preserve">pandoc</w:t>
        </w:r>
      </w:hyperlink>
    </w:p>
    <w:p>
      <w:pPr>
        <w:numPr>
          <w:ilvl w:val="0"/>
          <w:numId w:val="1026"/>
        </w:numPr>
        <w:pStyle w:val="Compact"/>
      </w:pPr>
      <w:hyperlink r:id="rId62">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6"/>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7"/>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2021-06-02T21:38:43Z</dcterms:created>
  <dcterms:modified xsi:type="dcterms:W3CDTF">2021-06-02T21:38:43Z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